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A33" w:rsidRDefault="00433844">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w:t>
      </w:r>
    </w:p>
    <w:p w:rsidR="00EA6A33" w:rsidRDefault="00EA6A33">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230"/>
      </w:tblGrid>
      <w:tr w:rsidR="00EA6A33">
        <w:trPr>
          <w:trHeight w:val="300"/>
        </w:trPr>
        <w:tc>
          <w:tcPr>
            <w:tcW w:w="5230" w:type="dxa"/>
            <w:tcBorders>
              <w:top w:val="nil"/>
              <w:left w:val="nil"/>
              <w:bottom w:val="single" w:sz="6" w:space="0" w:color="auto"/>
              <w:right w:val="nil"/>
            </w:tcBorders>
            <w:vAlign w:val="bottom"/>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30.07.2026</w:t>
            </w:r>
          </w:p>
        </w:tc>
      </w:tr>
      <w:tr w:rsidR="00EA6A33">
        <w:tblPrEx>
          <w:tblBorders>
            <w:bottom w:val="none" w:sz="0" w:space="0" w:color="auto"/>
          </w:tblBorders>
        </w:tblPrEx>
        <w:trPr>
          <w:trHeight w:val="300"/>
        </w:trPr>
        <w:tc>
          <w:tcPr>
            <w:tcW w:w="5230" w:type="dxa"/>
            <w:tcBorders>
              <w:top w:val="nil"/>
              <w:left w:val="nil"/>
              <w:bottom w:val="nil"/>
              <w:right w:val="nil"/>
            </w:tcBorders>
            <w:vAlign w:val="bottom"/>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реєстрації особою електронного документа)</w:t>
            </w:r>
          </w:p>
        </w:tc>
      </w:tr>
      <w:tr w:rsidR="00EA6A33">
        <w:trPr>
          <w:trHeight w:val="300"/>
        </w:trPr>
        <w:tc>
          <w:tcPr>
            <w:tcW w:w="5230" w:type="dxa"/>
            <w:tcBorders>
              <w:top w:val="nil"/>
              <w:left w:val="nil"/>
              <w:bottom w:val="single" w:sz="6" w:space="0" w:color="auto"/>
              <w:right w:val="nil"/>
            </w:tcBorders>
            <w:vAlign w:val="bottom"/>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1609</w:t>
            </w:r>
          </w:p>
        </w:tc>
      </w:tr>
      <w:tr w:rsidR="00EA6A33">
        <w:trPr>
          <w:trHeight w:val="300"/>
        </w:trPr>
        <w:tc>
          <w:tcPr>
            <w:tcW w:w="5230" w:type="dxa"/>
            <w:tcBorders>
              <w:top w:val="nil"/>
              <w:left w:val="nil"/>
              <w:bottom w:val="nil"/>
              <w:right w:val="nil"/>
            </w:tcBorders>
            <w:vAlign w:val="bottom"/>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EA6A33" w:rsidRDefault="00EA6A33">
      <w:pPr>
        <w:widowControl w:val="0"/>
        <w:autoSpaceDE w:val="0"/>
        <w:autoSpaceDN w:val="0"/>
        <w:adjustRightInd w:val="0"/>
        <w:spacing w:after="0" w:line="240" w:lineRule="auto"/>
        <w:rPr>
          <w:rFonts w:ascii="Times New Roman CYR" w:hAnsi="Times New Roman CYR"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465"/>
      </w:tblGrid>
      <w:tr w:rsidR="00EA6A33">
        <w:trPr>
          <w:trHeight w:val="300"/>
        </w:trPr>
        <w:tc>
          <w:tcPr>
            <w:tcW w:w="10465" w:type="dxa"/>
            <w:tcBorders>
              <w:top w:val="nil"/>
              <w:left w:val="nil"/>
              <w:bottom w:val="nil"/>
              <w:right w:val="nil"/>
            </w:tcBorders>
            <w:vAlign w:val="bottom"/>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236"/>
        <w:gridCol w:w="3334"/>
        <w:gridCol w:w="236"/>
        <w:gridCol w:w="3284"/>
      </w:tblGrid>
      <w:tr w:rsidR="00EA6A33">
        <w:trPr>
          <w:trHeight w:val="200"/>
        </w:trPr>
        <w:tc>
          <w:tcPr>
            <w:tcW w:w="3415" w:type="dxa"/>
            <w:tcBorders>
              <w:top w:val="nil"/>
              <w:left w:val="nil"/>
              <w:bottom w:val="single" w:sz="6" w:space="0" w:color="auto"/>
              <w:right w:val="nil"/>
            </w:tcBorders>
            <w:vAlign w:val="bottom"/>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В.о. Голови Правлiння</w:t>
            </w:r>
          </w:p>
        </w:tc>
        <w:tc>
          <w:tcPr>
            <w:tcW w:w="216" w:type="dxa"/>
            <w:tcBorders>
              <w:top w:val="nil"/>
              <w:left w:val="nil"/>
              <w:bottom w:val="nil"/>
              <w:right w:val="nil"/>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334" w:type="dxa"/>
            <w:tcBorders>
              <w:top w:val="nil"/>
              <w:left w:val="nil"/>
              <w:bottom w:val="single" w:sz="6" w:space="0" w:color="auto"/>
              <w:right w:val="nil"/>
            </w:tcBorders>
            <w:vAlign w:val="bottom"/>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284" w:type="dxa"/>
            <w:tcBorders>
              <w:top w:val="nil"/>
              <w:left w:val="nil"/>
              <w:bottom w:val="single" w:sz="6" w:space="0" w:color="auto"/>
              <w:right w:val="nil"/>
            </w:tcBorders>
            <w:vAlign w:val="bottom"/>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 Мартусенко</w:t>
            </w:r>
          </w:p>
        </w:tc>
      </w:tr>
      <w:tr w:rsidR="00EA6A33">
        <w:trPr>
          <w:trHeight w:val="200"/>
        </w:trPr>
        <w:tc>
          <w:tcPr>
            <w:tcW w:w="3415" w:type="dxa"/>
            <w:tcBorders>
              <w:top w:val="nil"/>
              <w:left w:val="nil"/>
              <w:bottom w:val="nil"/>
              <w:right w:val="nil"/>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334" w:type="dxa"/>
            <w:tcBorders>
              <w:top w:val="nil"/>
              <w:left w:val="nil"/>
              <w:bottom w:val="nil"/>
              <w:right w:val="nil"/>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(місце для накладання електронного підпису уповноваженої особи емітента/особи,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284" w:type="dxa"/>
            <w:tcBorders>
              <w:top w:val="nil"/>
              <w:left w:val="nil"/>
              <w:bottom w:val="nil"/>
              <w:right w:val="nil"/>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 або уповноваженої особи)</w:t>
            </w:r>
          </w:p>
        </w:tc>
      </w:tr>
    </w:tbl>
    <w:p w:rsidR="00EA6A33" w:rsidRDefault="00EA6A33">
      <w:pPr>
        <w:widowControl w:val="0"/>
        <w:autoSpaceDE w:val="0"/>
        <w:autoSpaceDN w:val="0"/>
        <w:adjustRightInd w:val="0"/>
        <w:spacing w:after="0" w:line="240" w:lineRule="auto"/>
        <w:rPr>
          <w:rFonts w:ascii="Times New Roman CYR" w:hAnsi="Times New Roman CYR" w:cs="Times New Roman CYR"/>
          <w:sz w:val="20"/>
          <w:szCs w:val="20"/>
        </w:rPr>
      </w:pPr>
    </w:p>
    <w:p w:rsidR="00EA6A33" w:rsidRDefault="00433844">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Проміжний звіт</w:t>
      </w:r>
    </w:p>
    <w:p w:rsidR="00EA6A33" w:rsidRDefault="00433844">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АКЦIОНЕРНЕ ТОВАРИСТВО "IНГ БАНК УКРАЇНА" (21684818)</w:t>
      </w:r>
    </w:p>
    <w:p w:rsidR="00EA6A33" w:rsidRDefault="00433844">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 2 квартал 2026 року</w:t>
      </w:r>
    </w:p>
    <w:p w:rsidR="00EA6A33" w:rsidRDefault="00EA6A33">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Рішення про затвердження проміжного звіту: , </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Особа, яка здійснює діяльність з оприлюднення регульованої інформації: </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здійснює подання звітності та/або звітних даних до Національної комісії з цінних паперів та фондового ринку: Державна установа "Агентство з розвитку iнфраструктури фондового ринку України", 21676262, Україна, DR/00002/ARM</w:t>
      </w:r>
    </w:p>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Дані про дату та місце оприлюднення проміжної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236"/>
        <w:gridCol w:w="4949"/>
        <w:gridCol w:w="236"/>
        <w:gridCol w:w="1669"/>
      </w:tblGrid>
      <w:tr w:rsidR="00EA6A33">
        <w:trPr>
          <w:trHeight w:val="300"/>
        </w:trPr>
        <w:tc>
          <w:tcPr>
            <w:tcW w:w="3415" w:type="dxa"/>
            <w:vMerge w:val="restart"/>
            <w:tcBorders>
              <w:top w:val="nil"/>
              <w:left w:val="nil"/>
              <w:bottom w:val="nil"/>
              <w:right w:val="nil"/>
            </w:tcBorders>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Проміжну інформацію розміщено на власному вебсайті емітента</w:t>
            </w:r>
          </w:p>
        </w:tc>
        <w:tc>
          <w:tcPr>
            <w:tcW w:w="216" w:type="dxa"/>
            <w:tcBorders>
              <w:top w:val="nil"/>
              <w:left w:val="nil"/>
              <w:bottom w:val="nil"/>
              <w:right w:val="nil"/>
            </w:tcBorders>
          </w:tcPr>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pPr>
          </w:p>
        </w:tc>
        <w:tc>
          <w:tcPr>
            <w:tcW w:w="4949" w:type="dxa"/>
            <w:tcBorders>
              <w:top w:val="nil"/>
              <w:left w:val="nil"/>
              <w:bottom w:val="single" w:sz="6" w:space="0" w:color="auto"/>
              <w:right w:val="nil"/>
            </w:tcBorders>
            <w:vAlign w:val="bottom"/>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https://www.ingwb.com/ua/service/vidpovidnist/konfidentsiynist-ta-privatnist/ukrayina/corp-documents</w:t>
            </w:r>
          </w:p>
        </w:tc>
        <w:tc>
          <w:tcPr>
            <w:tcW w:w="216" w:type="dxa"/>
            <w:tcBorders>
              <w:top w:val="nil"/>
              <w:left w:val="nil"/>
              <w:bottom w:val="nil"/>
              <w:right w:val="nil"/>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669" w:type="dxa"/>
            <w:tcBorders>
              <w:top w:val="nil"/>
              <w:left w:val="nil"/>
              <w:bottom w:val="single" w:sz="6" w:space="0" w:color="auto"/>
              <w:right w:val="nil"/>
            </w:tcBorders>
            <w:vAlign w:val="bottom"/>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30.07.2026</w:t>
            </w:r>
          </w:p>
        </w:tc>
      </w:tr>
      <w:tr w:rsidR="00EA6A33">
        <w:trPr>
          <w:trHeight w:val="300"/>
        </w:trPr>
        <w:tc>
          <w:tcPr>
            <w:tcW w:w="3415" w:type="dxa"/>
            <w:vMerge/>
            <w:tcBorders>
              <w:top w:val="nil"/>
              <w:left w:val="nil"/>
              <w:bottom w:val="nil"/>
              <w:right w:val="nil"/>
            </w:tcBorders>
          </w:tcPr>
          <w:p w:rsidR="00EA6A33" w:rsidRDefault="00EA6A33">
            <w:pPr>
              <w:widowControl w:val="0"/>
              <w:autoSpaceDE w:val="0"/>
              <w:autoSpaceDN w:val="0"/>
              <w:adjustRightInd w:val="0"/>
              <w:spacing w:after="0" w:line="240" w:lineRule="auto"/>
              <w:rPr>
                <w:rFonts w:ascii="Times New Roman CYR" w:hAnsi="Times New Roman CYR" w:cs="Times New Roman CYR"/>
                <w:sz w:val="20"/>
                <w:szCs w:val="20"/>
              </w:rPr>
            </w:pPr>
          </w:p>
        </w:tc>
        <w:tc>
          <w:tcPr>
            <w:tcW w:w="216" w:type="dxa"/>
            <w:tcBorders>
              <w:top w:val="nil"/>
              <w:left w:val="nil"/>
              <w:bottom w:val="nil"/>
              <w:right w:val="nil"/>
            </w:tcBorders>
          </w:tcPr>
          <w:p w:rsidR="00EA6A33" w:rsidRDefault="00EA6A33">
            <w:pPr>
              <w:widowControl w:val="0"/>
              <w:autoSpaceDE w:val="0"/>
              <w:autoSpaceDN w:val="0"/>
              <w:adjustRightInd w:val="0"/>
              <w:spacing w:after="0" w:line="240" w:lineRule="auto"/>
              <w:rPr>
                <w:rFonts w:ascii="Times New Roman CYR" w:hAnsi="Times New Roman CYR" w:cs="Times New Roman CYR"/>
                <w:sz w:val="20"/>
                <w:szCs w:val="20"/>
              </w:rPr>
            </w:pPr>
          </w:p>
        </w:tc>
        <w:tc>
          <w:tcPr>
            <w:tcW w:w="4949" w:type="dxa"/>
            <w:tcBorders>
              <w:top w:val="nil"/>
              <w:left w:val="nil"/>
              <w:bottom w:val="nil"/>
              <w:right w:val="nil"/>
            </w:tcBorders>
            <w:vAlign w:val="bottom"/>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(URL-адреса вебсайту)</w:t>
            </w:r>
          </w:p>
        </w:tc>
        <w:tc>
          <w:tcPr>
            <w:tcW w:w="216" w:type="dxa"/>
            <w:tcBorders>
              <w:top w:val="nil"/>
              <w:left w:val="nil"/>
              <w:bottom w:val="nil"/>
              <w:right w:val="nil"/>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69" w:type="dxa"/>
            <w:tcBorders>
              <w:top w:val="nil"/>
              <w:left w:val="nil"/>
              <w:bottom w:val="nil"/>
              <w:right w:val="nil"/>
            </w:tcBorders>
            <w:vAlign w:val="bottom"/>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EA6A33" w:rsidRDefault="00EA6A33">
      <w:pPr>
        <w:widowControl w:val="0"/>
        <w:autoSpaceDE w:val="0"/>
        <w:autoSpaceDN w:val="0"/>
        <w:adjustRightInd w:val="0"/>
        <w:spacing w:after="0" w:line="240" w:lineRule="auto"/>
        <w:rPr>
          <w:rFonts w:ascii="Times New Roman CYR" w:hAnsi="Times New Roman CYR" w:cs="Times New Roman CYR"/>
          <w:sz w:val="20"/>
          <w:szCs w:val="20"/>
        </w:rPr>
        <w:sectPr w:rsidR="00EA6A33">
          <w:headerReference w:type="default" r:id="rId6"/>
          <w:pgSz w:w="12240" w:h="15840"/>
          <w:pgMar w:top="570" w:right="720" w:bottom="570" w:left="720" w:header="708" w:footer="708" w:gutter="0"/>
          <w:cols w:space="720"/>
          <w:noEndnote/>
        </w:sectPr>
      </w:pP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Пояснення щодо розкриття інформації</w:t>
      </w: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Промiжний звiт за 2 квартал 2026 року не був затверджений жодним iз органiв Товариства, тому що законодавством, статутом та внутрiшнiми документами Товариства не передбачено затвердження промiжного звiту.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щодо усiх випускiв цiнних паперiв, за якими надається забезпечення не надається, тому що Товариство не є особою, яка надає забезпечення.</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щодо всiх осiб, якi надають забезпечення за зобов'язаннями емiтента не надається, тому що Товариство не випускало забезпечених цiнних аперiв.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рейтингове агентство не надається, тому що Товариство не оновлювало рейтинги у звiтному перiодi.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штрафнi санкцiї не надається, тому що Товариство не має штрафних санкцiй розмiр, який перевищує 1000 грн, накладених органами державної влади.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зв'язку з тим, що в Додатку 10 до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НКЦПФР вiд 06.06.2023 № 608 не передбачено роздiл, в якому потрiбно вказати iнформацiю про засновникiв, така iнформацiя наводиться нижче:</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Банк був створений у формi закритого акцiонерного товариства вiдповiдно до рiшення Установчих зборiв вiд 19 лютого 1997 року та Договору i зареєстрований НБУ 15 грудня 1997 року, реєстрацiйний № 271. Станом на дату розкриття звiтностi єдиним акцiонером Банку є ING Bank N.V., 33031431, Нiдерланди.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володiння посадовими особами акцiями Товариства не надається, тому що посадовi особи не володiють акцiями Товариства.</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Посилання на власний вебсайт, за яким розмiщена органiзацiйна структура станом на 31.03.2026, не надається, оскiльки Банк не публiкує Органiзацiйну структуру на власному веб-сайтi, вказанi вимоги у нормативно-правових актах Нацiонального банку вiдсутнi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обсяги виробництва та реалiзацiї основних видiв продукцiї та Iнформацiя про собiвартiсть реалiзованої продукцiї не надається, тому що Товариство не вiдноситься до пiдприємств, якi займаються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участь в iнших юридичних особах не надається, тому що Товариство не є учасником в iнших юридичних особах.</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вiдокремленi пiдроздiли не надається, тому що Товариство не має вiдокремлених пiдроздiлiв.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облiгацiї не надається, тому що Товариство не випускало облiгацiй.</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iншi цiннi папери не надається, тому що Товариство не випускало iнших цiнних паперiв.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деривативнi цiннi папери не надається, тому що Товариство не випускало деривативнi цiннi папери.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забезпечення випуску боргових цiнних паперiв не надається, тому що Товариство не випускало забезпечених боргових цiнних паперiв.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Звiт про стан об'єкта нерухомостi (у разi емiсiї цiльових корпоративних облiгацiй, виконання зобов'язань за якими здiйснюється шляхом передання об'єкта (частини об'єкта) житлового будiвництва) не надається, тому що Товариство не випускало цiльових корпоративних облiгацiй, виконання зобов'язань за якими здiйснюється шляхом об'єкта (частини об'єкта) житлового будiвництва.</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придбання власних акцiй протягом звiтного перiоду не надається, тому що Товариство не придбавало власних акцiй протягом звiтного перiоду.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наявнiсть у власностi працiвникiв особи цiнних паперiв (крiм акцiй) такої особи не надається, тому що Товариство не випускало iнших цiнних паперiв, крiм акцiй.</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наявнiсть у власностi працiвникiв Товариства акцiй у розмiрi понад 0,1 % статутного капiталу не надається, оскiльки такi особи вiдсутнi.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не надається, тому що такi обмеження вiдсутнi.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Звiт щодо огляду промiжної фiнансової звiтностi не надається, тому що Товариством не залучався суб'єкт аудиторської дiяльностi для перевiрки промiжної фiнансової звiтностi Товариства.</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прийняття рiшення про вчинення значних правочинiв не надається, тому що в Товариствi такi рiшення протягом звiтного перiоду не приймались.</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прийняття рiшення про попереднє надання згоди на вчинення значних правочинiв не надається, тому що у вiдповiдностi до вимог зазначених у Додатку 10 до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НКЦПФР вiд 06.06.2023 № 608, така iнформацiя не розкривається банками.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вчинення значних правочинiв, Iнформацiя про вчинення правочинiв, щодо вчинення яких є заiнтересованiсть не надається, тому що правочини у розумiннi Закону України "Про акцiонернi товариства", а також з врахуванням частини восьмої статтi 106 цього Закону, не вчинялися. Всi правочини, якi мали мiсце у звiтному перiодi є правочинами у рамках провадження звичайної господарської дiяльностi Товариства, якi вчиненнi на ринкових умовах, з урахуванням лiмiтiв та рiшень вiдповiдного органу банку.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Промiжна фiнансова звiтнiсть емiтента, складена за положеннями (стандартами) бухгалтерського облiку не надається, тому що Товариство подає фiнансову звiтнiсть, складену за мiжнародними стандартами фiнансової звiтностi.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Промiжна фiнансова звiтнiсть та консолiдована промiжна фiнансова звiтнiсть емiтента, складена за мiжнародними стандартами фiнансової звiтностi, не надається, тому що в р. III гл.I даного промiжного звiту зазначено посилання на URL-адреса вебсайту особи, за якою розмiщено промiжну фiнансову звiтнiсть на основi таксономiї фiнансової звiтностi. </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DF73CC" w:rsidRDefault="00DF73C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EA6A33" w:rsidRDefault="00433844">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Зміст</w:t>
      </w:r>
    </w:p>
    <w:p w:rsidR="00EA6A33" w:rsidRDefault="00433844">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до проміжного звіту</w:t>
      </w:r>
    </w:p>
    <w:p w:rsidR="00EF69DC" w:rsidRDefault="00EF69D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EF69DC" w:rsidRDefault="00EF69D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EF69DC" w:rsidRDefault="00EF69DC">
      <w:pPr>
        <w:widowControl w:val="0"/>
        <w:autoSpaceDE w:val="0"/>
        <w:autoSpaceDN w:val="0"/>
        <w:adjustRightInd w:val="0"/>
        <w:spacing w:after="0" w:line="240" w:lineRule="auto"/>
        <w:jc w:val="center"/>
        <w:rPr>
          <w:rFonts w:ascii="Times New Roman CYR" w:hAnsi="Times New Roman CYR" w:cs="Times New Roman CYR"/>
          <w:b/>
          <w:bCs/>
          <w:sz w:val="24"/>
          <w:szCs w:val="24"/>
        </w:rPr>
      </w:pPr>
    </w:p>
    <w:tbl>
      <w:tblPr>
        <w:tblStyle w:val="a7"/>
        <w:tblW w:w="0" w:type="auto"/>
        <w:tblLook w:val="04A0"/>
      </w:tblPr>
      <w:tblGrid>
        <w:gridCol w:w="9322"/>
        <w:gridCol w:w="1546"/>
      </w:tblGrid>
      <w:tr w:rsidR="00EF69DC" w:rsidTr="00EF69DC">
        <w:tc>
          <w:tcPr>
            <w:tcW w:w="9322" w:type="dxa"/>
          </w:tcPr>
          <w:p w:rsidR="00EF69DC" w:rsidRDefault="00EF69DC" w:rsidP="00EF69DC">
            <w:pPr>
              <w:widowControl w:val="0"/>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I. Загальна інформація</w:t>
            </w:r>
          </w:p>
          <w:p w:rsidR="00EF69DC" w:rsidRDefault="00EF69DC">
            <w:pPr>
              <w:widowControl w:val="0"/>
              <w:autoSpaceDE w:val="0"/>
              <w:autoSpaceDN w:val="0"/>
              <w:adjustRightInd w:val="0"/>
              <w:jc w:val="center"/>
              <w:rPr>
                <w:rFonts w:ascii="Times New Roman CYR" w:hAnsi="Times New Roman CYR" w:cs="Times New Roman CYR"/>
                <w:sz w:val="24"/>
                <w:szCs w:val="24"/>
              </w:rPr>
            </w:pPr>
          </w:p>
        </w:tc>
        <w:tc>
          <w:tcPr>
            <w:tcW w:w="1546" w:type="dxa"/>
          </w:tcPr>
          <w:p w:rsidR="00EF69DC" w:rsidRDefault="00EF69D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6</w:t>
            </w:r>
          </w:p>
        </w:tc>
      </w:tr>
      <w:tr w:rsidR="00EF69DC" w:rsidTr="00EF69DC">
        <w:tc>
          <w:tcPr>
            <w:tcW w:w="9322" w:type="dxa"/>
          </w:tcPr>
          <w:p w:rsidR="00EF69DC" w:rsidRDefault="00EF69DC" w:rsidP="00EF69DC">
            <w:pPr>
              <w:widowControl w:val="0"/>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1. Ідентифікаційні дані та загальна інформація</w:t>
            </w:r>
          </w:p>
          <w:p w:rsidR="00EF69DC" w:rsidRDefault="00EF69DC">
            <w:pPr>
              <w:widowControl w:val="0"/>
              <w:autoSpaceDE w:val="0"/>
              <w:autoSpaceDN w:val="0"/>
              <w:adjustRightInd w:val="0"/>
              <w:jc w:val="center"/>
              <w:rPr>
                <w:rFonts w:ascii="Times New Roman CYR" w:hAnsi="Times New Roman CYR" w:cs="Times New Roman CYR"/>
                <w:sz w:val="24"/>
                <w:szCs w:val="24"/>
              </w:rPr>
            </w:pPr>
          </w:p>
        </w:tc>
        <w:tc>
          <w:tcPr>
            <w:tcW w:w="1546" w:type="dxa"/>
          </w:tcPr>
          <w:p w:rsidR="00EF69DC" w:rsidRDefault="00EF69D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6</w:t>
            </w:r>
          </w:p>
        </w:tc>
      </w:tr>
      <w:tr w:rsidR="00EF69DC" w:rsidTr="00EF69DC">
        <w:tc>
          <w:tcPr>
            <w:tcW w:w="9322" w:type="dxa"/>
          </w:tcPr>
          <w:p w:rsidR="00EF69DC" w:rsidRDefault="00EF69DC" w:rsidP="00EF69DC">
            <w:pPr>
              <w:widowControl w:val="0"/>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2. Органи управління та посадові особи. Організаційна структура</w:t>
            </w:r>
          </w:p>
          <w:p w:rsidR="00EF69DC" w:rsidRDefault="00EF69DC">
            <w:pPr>
              <w:widowControl w:val="0"/>
              <w:autoSpaceDE w:val="0"/>
              <w:autoSpaceDN w:val="0"/>
              <w:adjustRightInd w:val="0"/>
              <w:jc w:val="center"/>
              <w:rPr>
                <w:rFonts w:ascii="Times New Roman CYR" w:hAnsi="Times New Roman CYR" w:cs="Times New Roman CYR"/>
                <w:sz w:val="24"/>
                <w:szCs w:val="24"/>
              </w:rPr>
            </w:pPr>
          </w:p>
        </w:tc>
        <w:tc>
          <w:tcPr>
            <w:tcW w:w="1546" w:type="dxa"/>
          </w:tcPr>
          <w:p w:rsidR="00EF69DC" w:rsidRDefault="00EF69D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10</w:t>
            </w:r>
          </w:p>
        </w:tc>
      </w:tr>
      <w:tr w:rsidR="00EF69DC" w:rsidTr="00EF69DC">
        <w:tc>
          <w:tcPr>
            <w:tcW w:w="9322" w:type="dxa"/>
          </w:tcPr>
          <w:p w:rsidR="00EF69DC" w:rsidRDefault="00EF69DC" w:rsidP="00EF69DC">
            <w:pPr>
              <w:widowControl w:val="0"/>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3. Структура власності</w:t>
            </w:r>
          </w:p>
          <w:p w:rsidR="00EF69DC" w:rsidRDefault="00EF69DC">
            <w:pPr>
              <w:widowControl w:val="0"/>
              <w:autoSpaceDE w:val="0"/>
              <w:autoSpaceDN w:val="0"/>
              <w:adjustRightInd w:val="0"/>
              <w:jc w:val="center"/>
              <w:rPr>
                <w:rFonts w:ascii="Times New Roman CYR" w:hAnsi="Times New Roman CYR" w:cs="Times New Roman CYR"/>
                <w:sz w:val="24"/>
                <w:szCs w:val="24"/>
              </w:rPr>
            </w:pPr>
          </w:p>
        </w:tc>
        <w:tc>
          <w:tcPr>
            <w:tcW w:w="1546" w:type="dxa"/>
          </w:tcPr>
          <w:p w:rsidR="00EF69DC" w:rsidRDefault="00EF69D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16</w:t>
            </w:r>
          </w:p>
        </w:tc>
      </w:tr>
      <w:tr w:rsidR="00EF69DC" w:rsidTr="00EF69DC">
        <w:tc>
          <w:tcPr>
            <w:tcW w:w="9322" w:type="dxa"/>
          </w:tcPr>
          <w:p w:rsidR="00EF69DC" w:rsidRDefault="00EF69DC" w:rsidP="00EF69DC">
            <w:pPr>
              <w:widowControl w:val="0"/>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4. Опис господарської та фінансової діяльності</w:t>
            </w:r>
          </w:p>
          <w:p w:rsidR="00EF69DC" w:rsidRDefault="00EF69DC">
            <w:pPr>
              <w:widowControl w:val="0"/>
              <w:autoSpaceDE w:val="0"/>
              <w:autoSpaceDN w:val="0"/>
              <w:adjustRightInd w:val="0"/>
              <w:jc w:val="center"/>
              <w:rPr>
                <w:rFonts w:ascii="Times New Roman CYR" w:hAnsi="Times New Roman CYR" w:cs="Times New Roman CYR"/>
                <w:sz w:val="24"/>
                <w:szCs w:val="24"/>
              </w:rPr>
            </w:pPr>
          </w:p>
        </w:tc>
        <w:tc>
          <w:tcPr>
            <w:tcW w:w="1546" w:type="dxa"/>
          </w:tcPr>
          <w:p w:rsidR="00EF69DC" w:rsidRDefault="00EF69D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16</w:t>
            </w:r>
          </w:p>
        </w:tc>
      </w:tr>
      <w:tr w:rsidR="00EF69DC" w:rsidTr="00EF69DC">
        <w:tc>
          <w:tcPr>
            <w:tcW w:w="9322" w:type="dxa"/>
          </w:tcPr>
          <w:p w:rsidR="00EF69DC" w:rsidRDefault="00EF69DC" w:rsidP="00EF69DC">
            <w:pPr>
              <w:widowControl w:val="0"/>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II. Інформація щодо капіталу та цінних паперів</w:t>
            </w:r>
          </w:p>
          <w:p w:rsidR="00EF69DC" w:rsidRDefault="00EF69DC">
            <w:pPr>
              <w:widowControl w:val="0"/>
              <w:autoSpaceDE w:val="0"/>
              <w:autoSpaceDN w:val="0"/>
              <w:adjustRightInd w:val="0"/>
              <w:jc w:val="center"/>
              <w:rPr>
                <w:rFonts w:ascii="Times New Roman CYR" w:hAnsi="Times New Roman CYR" w:cs="Times New Roman CYR"/>
                <w:sz w:val="24"/>
                <w:szCs w:val="24"/>
              </w:rPr>
            </w:pPr>
          </w:p>
        </w:tc>
        <w:tc>
          <w:tcPr>
            <w:tcW w:w="1546" w:type="dxa"/>
          </w:tcPr>
          <w:p w:rsidR="00EF69DC" w:rsidRDefault="00EF69D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29</w:t>
            </w:r>
          </w:p>
        </w:tc>
      </w:tr>
      <w:tr w:rsidR="00EF69DC" w:rsidTr="00EF69DC">
        <w:tc>
          <w:tcPr>
            <w:tcW w:w="9322" w:type="dxa"/>
          </w:tcPr>
          <w:p w:rsidR="00EF69DC" w:rsidRDefault="00EF69DC" w:rsidP="00EF69DC">
            <w:pPr>
              <w:widowControl w:val="0"/>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1. Цінні папери</w:t>
            </w:r>
          </w:p>
          <w:p w:rsidR="00EF69DC" w:rsidRDefault="00EF69DC">
            <w:pPr>
              <w:widowControl w:val="0"/>
              <w:autoSpaceDE w:val="0"/>
              <w:autoSpaceDN w:val="0"/>
              <w:adjustRightInd w:val="0"/>
              <w:jc w:val="center"/>
              <w:rPr>
                <w:rFonts w:ascii="Times New Roman CYR" w:hAnsi="Times New Roman CYR" w:cs="Times New Roman CYR"/>
                <w:sz w:val="24"/>
                <w:szCs w:val="24"/>
              </w:rPr>
            </w:pPr>
          </w:p>
        </w:tc>
        <w:tc>
          <w:tcPr>
            <w:tcW w:w="1546" w:type="dxa"/>
          </w:tcPr>
          <w:p w:rsidR="00EF69DC" w:rsidRDefault="00EF69D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29</w:t>
            </w:r>
          </w:p>
        </w:tc>
      </w:tr>
      <w:tr w:rsidR="00EF69DC" w:rsidTr="00EF69DC">
        <w:tc>
          <w:tcPr>
            <w:tcW w:w="9322" w:type="dxa"/>
          </w:tcPr>
          <w:p w:rsidR="00EF69DC" w:rsidRDefault="00EF69DC" w:rsidP="00EF69DC">
            <w:pPr>
              <w:widowControl w:val="0"/>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III. Фінансова інформація</w:t>
            </w:r>
          </w:p>
          <w:p w:rsidR="00EF69DC" w:rsidRDefault="00EF69DC">
            <w:pPr>
              <w:widowControl w:val="0"/>
              <w:autoSpaceDE w:val="0"/>
              <w:autoSpaceDN w:val="0"/>
              <w:adjustRightInd w:val="0"/>
              <w:jc w:val="center"/>
              <w:rPr>
                <w:rFonts w:ascii="Times New Roman CYR" w:hAnsi="Times New Roman CYR" w:cs="Times New Roman CYR"/>
                <w:sz w:val="24"/>
                <w:szCs w:val="24"/>
              </w:rPr>
            </w:pPr>
          </w:p>
        </w:tc>
        <w:tc>
          <w:tcPr>
            <w:tcW w:w="1546" w:type="dxa"/>
          </w:tcPr>
          <w:p w:rsidR="00EF69DC" w:rsidRDefault="00EF69D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30</w:t>
            </w:r>
          </w:p>
        </w:tc>
      </w:tr>
      <w:tr w:rsidR="00EF69DC" w:rsidTr="00EF69DC">
        <w:tc>
          <w:tcPr>
            <w:tcW w:w="9322" w:type="dxa"/>
          </w:tcPr>
          <w:p w:rsidR="00EF69DC" w:rsidRDefault="00EF69DC" w:rsidP="00EF69DC">
            <w:pPr>
              <w:widowControl w:val="0"/>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1. Проміжна фінансова звітність</w:t>
            </w:r>
          </w:p>
          <w:p w:rsidR="00EF69DC" w:rsidRDefault="00EF69DC" w:rsidP="00EF69DC">
            <w:pPr>
              <w:widowControl w:val="0"/>
              <w:autoSpaceDE w:val="0"/>
              <w:autoSpaceDN w:val="0"/>
              <w:adjustRightInd w:val="0"/>
              <w:rPr>
                <w:rFonts w:ascii="Times New Roman CYR" w:hAnsi="Times New Roman CYR" w:cs="Times New Roman CYR"/>
                <w:sz w:val="24"/>
                <w:szCs w:val="24"/>
              </w:rPr>
            </w:pPr>
          </w:p>
        </w:tc>
        <w:tc>
          <w:tcPr>
            <w:tcW w:w="1546" w:type="dxa"/>
          </w:tcPr>
          <w:p w:rsidR="00EF69DC" w:rsidRDefault="00EF69D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30</w:t>
            </w:r>
          </w:p>
        </w:tc>
      </w:tr>
      <w:tr w:rsidR="00EF69DC" w:rsidTr="00EF69DC">
        <w:tc>
          <w:tcPr>
            <w:tcW w:w="9322" w:type="dxa"/>
          </w:tcPr>
          <w:p w:rsidR="00EF69DC" w:rsidRDefault="00EF69DC" w:rsidP="00EF69DC">
            <w:pPr>
              <w:widowControl w:val="0"/>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3. Твердження щодо проміжної інформації</w:t>
            </w:r>
          </w:p>
          <w:p w:rsidR="00EF69DC" w:rsidRDefault="00EF69DC" w:rsidP="00EF69DC">
            <w:pPr>
              <w:widowControl w:val="0"/>
              <w:autoSpaceDE w:val="0"/>
              <w:autoSpaceDN w:val="0"/>
              <w:adjustRightInd w:val="0"/>
              <w:rPr>
                <w:rFonts w:ascii="Times New Roman CYR" w:hAnsi="Times New Roman CYR" w:cs="Times New Roman CYR"/>
                <w:sz w:val="24"/>
                <w:szCs w:val="24"/>
              </w:rPr>
            </w:pPr>
          </w:p>
        </w:tc>
        <w:tc>
          <w:tcPr>
            <w:tcW w:w="1546" w:type="dxa"/>
          </w:tcPr>
          <w:p w:rsidR="00EF69DC" w:rsidRDefault="00EF69D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30</w:t>
            </w:r>
          </w:p>
        </w:tc>
      </w:tr>
      <w:tr w:rsidR="00EF69DC" w:rsidTr="00EF69DC">
        <w:tc>
          <w:tcPr>
            <w:tcW w:w="9322" w:type="dxa"/>
          </w:tcPr>
          <w:p w:rsidR="00EF69DC" w:rsidRDefault="00EF69DC" w:rsidP="00EF69DC">
            <w:pPr>
              <w:widowControl w:val="0"/>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IV. Нефінансова інформація</w:t>
            </w:r>
          </w:p>
          <w:p w:rsidR="00EF69DC" w:rsidRDefault="00EF69DC" w:rsidP="00EF69DC">
            <w:pPr>
              <w:widowControl w:val="0"/>
              <w:autoSpaceDE w:val="0"/>
              <w:autoSpaceDN w:val="0"/>
              <w:adjustRightInd w:val="0"/>
              <w:rPr>
                <w:rFonts w:ascii="Times New Roman CYR" w:hAnsi="Times New Roman CYR" w:cs="Times New Roman CYR"/>
                <w:sz w:val="24"/>
                <w:szCs w:val="24"/>
              </w:rPr>
            </w:pPr>
          </w:p>
        </w:tc>
        <w:tc>
          <w:tcPr>
            <w:tcW w:w="1546" w:type="dxa"/>
          </w:tcPr>
          <w:p w:rsidR="00EF69DC" w:rsidRDefault="00EF69D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30</w:t>
            </w:r>
          </w:p>
        </w:tc>
      </w:tr>
      <w:tr w:rsidR="00EF69DC" w:rsidTr="00EF69DC">
        <w:tc>
          <w:tcPr>
            <w:tcW w:w="9322" w:type="dxa"/>
          </w:tcPr>
          <w:p w:rsidR="00EF69DC" w:rsidRDefault="00EF69DC" w:rsidP="00EF69DC">
            <w:pPr>
              <w:widowControl w:val="0"/>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1. Проміжний звіт керівництва</w:t>
            </w:r>
          </w:p>
          <w:p w:rsidR="00EF69DC" w:rsidRDefault="00EF69DC" w:rsidP="00EF69DC">
            <w:pPr>
              <w:widowControl w:val="0"/>
              <w:autoSpaceDE w:val="0"/>
              <w:autoSpaceDN w:val="0"/>
              <w:adjustRightInd w:val="0"/>
              <w:rPr>
                <w:rFonts w:ascii="Times New Roman CYR" w:hAnsi="Times New Roman CYR" w:cs="Times New Roman CYR"/>
                <w:sz w:val="24"/>
                <w:szCs w:val="24"/>
              </w:rPr>
            </w:pPr>
          </w:p>
        </w:tc>
        <w:tc>
          <w:tcPr>
            <w:tcW w:w="1546" w:type="dxa"/>
          </w:tcPr>
          <w:p w:rsidR="00EF69DC" w:rsidRDefault="00EF69DC">
            <w:pPr>
              <w:widowControl w:val="0"/>
              <w:autoSpaceDE w:val="0"/>
              <w:autoSpaceDN w:val="0"/>
              <w:adjustRightInd w:val="0"/>
              <w:jc w:val="center"/>
              <w:rPr>
                <w:rFonts w:ascii="Times New Roman CYR" w:hAnsi="Times New Roman CYR" w:cs="Times New Roman CYR"/>
                <w:sz w:val="24"/>
                <w:szCs w:val="24"/>
              </w:rPr>
            </w:pPr>
            <w:r>
              <w:rPr>
                <w:rFonts w:ascii="Times New Roman CYR" w:hAnsi="Times New Roman CYR" w:cs="Times New Roman CYR"/>
                <w:sz w:val="24"/>
                <w:szCs w:val="24"/>
              </w:rPr>
              <w:t>30</w:t>
            </w:r>
          </w:p>
        </w:tc>
      </w:tr>
    </w:tbl>
    <w:p w:rsidR="00EF69DC" w:rsidRDefault="00EF69DC">
      <w:pPr>
        <w:widowControl w:val="0"/>
        <w:autoSpaceDE w:val="0"/>
        <w:autoSpaceDN w:val="0"/>
        <w:adjustRightInd w:val="0"/>
        <w:spacing w:after="0" w:line="240" w:lineRule="auto"/>
        <w:jc w:val="center"/>
        <w:rPr>
          <w:rFonts w:ascii="Times New Roman CYR" w:hAnsi="Times New Roman CYR" w:cs="Times New Roman CYR"/>
          <w:sz w:val="24"/>
          <w:szCs w:val="24"/>
        </w:rPr>
      </w:pPr>
    </w:p>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pPr>
    </w:p>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sectPr w:rsidR="00EA6A33">
          <w:pgSz w:w="12240" w:h="15840"/>
          <w:pgMar w:top="570" w:right="720" w:bottom="570" w:left="720" w:header="708" w:footer="708" w:gutter="0"/>
          <w:cols w:space="720"/>
          <w:noEndnote/>
        </w:sectPr>
      </w:pP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 Загальна інформація</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Ідентифікаційні дані та загальна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"IНГ БАНК УКРАЇНА"</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Скорочене найменування</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АТ "IНГ БАНК УКРАЇНА</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21684818</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державної реєстрації</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15.12.1997</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Місцезнаходження</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04070, Україна, м.Київ, м. Київ, вулиця Спаська, 30А</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для листування</w:t>
            </w:r>
          </w:p>
        </w:tc>
        <w:tc>
          <w:tcPr>
            <w:tcW w:w="6465" w:type="dxa"/>
            <w:tcBorders>
              <w:top w:val="single" w:sz="6" w:space="0" w:color="auto"/>
              <w:left w:val="single" w:sz="6" w:space="0" w:color="auto"/>
              <w:bottom w:val="single" w:sz="6" w:space="0" w:color="auto"/>
            </w:tcBorders>
            <w:vAlign w:val="center"/>
          </w:tcPr>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pP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розкриває інформацію</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Емітент</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Особа, яка надає забезпечення</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має статус підприємства, що становить суспільний інтерес</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Так</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Ні</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Категорія підприємства</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Велике</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Середнє</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Мале</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Мікро</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електронної пошти для офіційного каналу зв'язку</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kiev.news@ingbank.com</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https://www.ingwb.com/ua/merezha/emea/ukrayina</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12</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телефону</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+38(044) 354-10-10</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13</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Статутний капітал, грн</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731298045</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14</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(часток/паїв) у статутному капіталі, що належить державі</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15</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16</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Середня кількість працівників за звітний період</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105</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17</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види діяльності із зазначенням їх найменування та коду за КВЕД</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64.19 - Iншi види грошового посередництва</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18</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Структура управління особи</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Однорівнева</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Дворівнева</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Інше</w:t>
            </w:r>
          </w:p>
        </w:tc>
      </w:tr>
    </w:tbl>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pPr>
    </w:p>
    <w:p w:rsidR="00EF69DC" w:rsidRDefault="00EF69DC">
      <w:pPr>
        <w:widowControl w:val="0"/>
        <w:autoSpaceDE w:val="0"/>
        <w:autoSpaceDN w:val="0"/>
        <w:adjustRightInd w:val="0"/>
        <w:spacing w:after="0" w:line="240" w:lineRule="auto"/>
        <w:rPr>
          <w:rFonts w:ascii="Times New Roman CYR" w:hAnsi="Times New Roman CYR" w:cs="Times New Roman CYR"/>
          <w:b/>
          <w:bCs/>
          <w:sz w:val="24"/>
          <w:szCs w:val="24"/>
        </w:rPr>
      </w:pPr>
    </w:p>
    <w:p w:rsidR="00EF69DC" w:rsidRDefault="00EF69DC">
      <w:pPr>
        <w:widowControl w:val="0"/>
        <w:autoSpaceDE w:val="0"/>
        <w:autoSpaceDN w:val="0"/>
        <w:adjustRightInd w:val="0"/>
        <w:spacing w:after="0" w:line="240" w:lineRule="auto"/>
        <w:rPr>
          <w:rFonts w:ascii="Times New Roman CYR" w:hAnsi="Times New Roman CYR" w:cs="Times New Roman CYR"/>
          <w:b/>
          <w:bCs/>
          <w:sz w:val="24"/>
          <w:szCs w:val="24"/>
        </w:rPr>
      </w:pPr>
    </w:p>
    <w:p w:rsidR="00EF69DC" w:rsidRDefault="00EF69DC">
      <w:pPr>
        <w:widowControl w:val="0"/>
        <w:autoSpaceDE w:val="0"/>
        <w:autoSpaceDN w:val="0"/>
        <w:adjustRightInd w:val="0"/>
        <w:spacing w:after="0" w:line="240" w:lineRule="auto"/>
        <w:rPr>
          <w:rFonts w:ascii="Times New Roman CYR" w:hAnsi="Times New Roman CYR" w:cs="Times New Roman CYR"/>
          <w:b/>
          <w:bCs/>
          <w:sz w:val="24"/>
          <w:szCs w:val="24"/>
        </w:rPr>
      </w:pPr>
    </w:p>
    <w:p w:rsidR="00EF69DC" w:rsidRDefault="00EF69DC">
      <w:pPr>
        <w:widowControl w:val="0"/>
        <w:autoSpaceDE w:val="0"/>
        <w:autoSpaceDN w:val="0"/>
        <w:adjustRightInd w:val="0"/>
        <w:spacing w:after="0" w:line="240" w:lineRule="auto"/>
        <w:rPr>
          <w:rFonts w:ascii="Times New Roman CYR" w:hAnsi="Times New Roman CYR" w:cs="Times New Roman CYR"/>
          <w:b/>
          <w:bCs/>
          <w:sz w:val="24"/>
          <w:szCs w:val="24"/>
        </w:rPr>
      </w:pPr>
    </w:p>
    <w:p w:rsidR="00EF69DC" w:rsidRDefault="00EF69DC">
      <w:pPr>
        <w:widowControl w:val="0"/>
        <w:autoSpaceDE w:val="0"/>
        <w:autoSpaceDN w:val="0"/>
        <w:adjustRightInd w:val="0"/>
        <w:spacing w:after="0" w:line="240" w:lineRule="auto"/>
        <w:rPr>
          <w:rFonts w:ascii="Times New Roman CYR" w:hAnsi="Times New Roman CYR" w:cs="Times New Roman CYR"/>
          <w:b/>
          <w:bCs/>
          <w:sz w:val="24"/>
          <w:szCs w:val="24"/>
        </w:rPr>
      </w:pPr>
    </w:p>
    <w:p w:rsidR="00EF69DC" w:rsidRDefault="00EF69DC">
      <w:pPr>
        <w:widowControl w:val="0"/>
        <w:autoSpaceDE w:val="0"/>
        <w:autoSpaceDN w:val="0"/>
        <w:adjustRightInd w:val="0"/>
        <w:spacing w:after="0" w:line="240" w:lineRule="auto"/>
        <w:rPr>
          <w:rFonts w:ascii="Times New Roman CYR" w:hAnsi="Times New Roman CYR" w:cs="Times New Roman CYR"/>
          <w:b/>
          <w:bCs/>
          <w:sz w:val="24"/>
          <w:szCs w:val="24"/>
        </w:rPr>
      </w:pP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Банки, що обслуговують особу: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"IНГ Банк Україна"</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21684818</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UA363005390000016001002002900</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UAH</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"IНГ Банк Україна"</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21684818</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UA513005390000016023212002905</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USD</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"IНГ Банк Україна"</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21684818</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UA783005390000016006212002900</w:t>
            </w:r>
          </w:p>
        </w:tc>
      </w:tr>
      <w:tr w:rsidR="00EA6A33">
        <w:trPr>
          <w:trHeight w:val="300"/>
        </w:trPr>
        <w:tc>
          <w:tcPr>
            <w:tcW w:w="500" w:type="dxa"/>
            <w:tcBorders>
              <w:top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EUR</w:t>
            </w:r>
          </w:p>
        </w:tc>
      </w:tr>
    </w:tbl>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pPr>
    </w:p>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sectPr w:rsidR="00EA6A33">
          <w:pgSz w:w="12240" w:h="15840"/>
          <w:pgMar w:top="570" w:right="720" w:bottom="570" w:left="720" w:header="708" w:footer="708" w:gutter="0"/>
          <w:cols w:space="720"/>
          <w:noEndnote/>
        </w:sectPr>
      </w:pP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Судові справи: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200"/>
        <w:gridCol w:w="2200"/>
        <w:gridCol w:w="2200"/>
        <w:gridCol w:w="2200"/>
        <w:gridCol w:w="2200"/>
        <w:gridCol w:w="2200"/>
        <w:gridCol w:w="1650"/>
      </w:tblGrid>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Номер справи та дата відкриття провадження</w:t>
            </w:r>
          </w:p>
        </w:tc>
        <w:tc>
          <w:tcPr>
            <w:tcW w:w="2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Найменування суду</w:t>
            </w:r>
          </w:p>
        </w:tc>
        <w:tc>
          <w:tcPr>
            <w:tcW w:w="2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Позивач</w:t>
            </w:r>
          </w:p>
        </w:tc>
        <w:tc>
          <w:tcPr>
            <w:tcW w:w="2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Відповідач</w:t>
            </w:r>
          </w:p>
        </w:tc>
        <w:tc>
          <w:tcPr>
            <w:tcW w:w="2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Третя особа</w:t>
            </w:r>
          </w:p>
        </w:tc>
        <w:tc>
          <w:tcPr>
            <w:tcW w:w="2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Позовні вимоги (в т.ч. їх розмір)</w:t>
            </w:r>
          </w:p>
        </w:tc>
        <w:tc>
          <w:tcPr>
            <w:tcW w:w="165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Стан розгляду справи</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2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2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165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r>
      <w:tr w:rsidR="00EA6A33">
        <w:trPr>
          <w:trHeight w:val="200"/>
        </w:trPr>
        <w:tc>
          <w:tcPr>
            <w:tcW w:w="55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920/1471/24</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06.03.2025</w:t>
            </w:r>
          </w:p>
        </w:tc>
        <w:tc>
          <w:tcPr>
            <w:tcW w:w="22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Господарський суд Сумської областi</w:t>
            </w:r>
          </w:p>
        </w:tc>
        <w:tc>
          <w:tcPr>
            <w:tcW w:w="22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Головне управлiння Пенсiйного фонду України в Сумськiй областi (Заявник)</w:t>
            </w:r>
          </w:p>
        </w:tc>
        <w:tc>
          <w:tcPr>
            <w:tcW w:w="22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АТ "Сумське машинобудiвне науково-виробниче об'єднання" (Боржник)</w:t>
            </w:r>
          </w:p>
        </w:tc>
        <w:tc>
          <w:tcPr>
            <w:tcW w:w="22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Арбiтражний керуючий, Фонд державного майна України, кредитори (в т.ч., АТ "IНГ Банк Україна")</w:t>
            </w:r>
          </w:p>
        </w:tc>
        <w:tc>
          <w:tcPr>
            <w:tcW w:w="22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Грошовi вимоги АТ "IНГ Банк Україна" до Боржника у розмiрi 412 389 877,69 грн.</w:t>
            </w:r>
          </w:p>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50" w:type="dxa"/>
            <w:tcBorders>
              <w:top w:val="single" w:sz="6" w:space="0" w:color="auto"/>
              <w:left w:val="single" w:sz="6" w:space="0" w:color="auto"/>
              <w:bottom w:val="single" w:sz="6" w:space="0" w:color="auto"/>
            </w:tcBorders>
          </w:tcPr>
          <w:p w:rsidR="00EA6A33" w:rsidRDefault="001E6678">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Ухвалою від 26.06.2025 грошові вимоги АТ "ІНГ Банк Україна" було визнано повністю. Рішенням зборів кредиторів АТ "ІНГ Банк Україна" обрано до складу комітету кредиторів. Провадження у справі про банкрутство триває, перебуває на стадії розпорядження майно</w:t>
            </w:r>
          </w:p>
        </w:tc>
      </w:tr>
      <w:tr w:rsidR="00EA6A33">
        <w:trPr>
          <w:trHeight w:val="200"/>
        </w:trPr>
        <w:tc>
          <w:tcPr>
            <w:tcW w:w="55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908/2828/19 (908/837/17)</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30.01.2020</w:t>
            </w:r>
          </w:p>
        </w:tc>
        <w:tc>
          <w:tcPr>
            <w:tcW w:w="22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Господарський суд Запорiзької областi / Центральний апеляцiйний господарський суд</w:t>
            </w:r>
          </w:p>
        </w:tc>
        <w:tc>
          <w:tcPr>
            <w:tcW w:w="22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АТ "IНГ Банк Україна"</w:t>
            </w:r>
          </w:p>
        </w:tc>
        <w:tc>
          <w:tcPr>
            <w:tcW w:w="22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ПрАТ "Запорiжтрансформатор"</w:t>
            </w:r>
          </w:p>
        </w:tc>
        <w:tc>
          <w:tcPr>
            <w:tcW w:w="22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w:t>
            </w:r>
          </w:p>
        </w:tc>
        <w:tc>
          <w:tcPr>
            <w:tcW w:w="22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Стягнення заборгованостi за договором про надання фiнансових послуг у розмiрi 7 184 567,95 доларiв США.</w:t>
            </w:r>
          </w:p>
        </w:tc>
        <w:tc>
          <w:tcPr>
            <w:tcW w:w="1650" w:type="dxa"/>
            <w:tcBorders>
              <w:top w:val="single" w:sz="6" w:space="0" w:color="auto"/>
              <w:left w:val="single" w:sz="6" w:space="0" w:color="auto"/>
              <w:bottom w:val="single" w:sz="6" w:space="0" w:color="auto"/>
            </w:tcBorders>
          </w:tcPr>
          <w:p w:rsidR="00EA6A33" w:rsidRDefault="001E6678">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Рішенням Господарського суду Запорізької області від 28.10.2025 позовні вимоги АТ "ІНГ Банк Україна" до ПрАТ "Запоріжтрансформатор" задоволено повністю. ПрАТ "Запоріжтрансформатор" подало апеляційну скаргу на Рішення, наступне судове засідання призначено на 10.09.2026</w:t>
            </w:r>
          </w:p>
        </w:tc>
      </w:tr>
    </w:tbl>
    <w:p w:rsidR="00EA6A33" w:rsidRDefault="00EA6A33">
      <w:pPr>
        <w:widowControl w:val="0"/>
        <w:autoSpaceDE w:val="0"/>
        <w:autoSpaceDN w:val="0"/>
        <w:adjustRightInd w:val="0"/>
        <w:spacing w:after="0" w:line="240" w:lineRule="auto"/>
        <w:rPr>
          <w:rFonts w:ascii="Times New Roman CYR" w:hAnsi="Times New Roman CYR" w:cs="Times New Roman CYR"/>
          <w:sz w:val="20"/>
          <w:szCs w:val="20"/>
        </w:rPr>
      </w:pPr>
    </w:p>
    <w:p w:rsidR="00EA6A33" w:rsidRDefault="00EA6A33">
      <w:pPr>
        <w:widowControl w:val="0"/>
        <w:autoSpaceDE w:val="0"/>
        <w:autoSpaceDN w:val="0"/>
        <w:adjustRightInd w:val="0"/>
        <w:spacing w:after="0" w:line="240" w:lineRule="auto"/>
        <w:rPr>
          <w:rFonts w:ascii="Times New Roman CYR" w:hAnsi="Times New Roman CYR" w:cs="Times New Roman CYR"/>
          <w:sz w:val="20"/>
          <w:szCs w:val="20"/>
        </w:rPr>
        <w:sectPr w:rsidR="00EA6A33">
          <w:pgSz w:w="16837" w:h="11905" w:orient="landscape"/>
          <w:pgMar w:top="570" w:right="720" w:bottom="570" w:left="720" w:header="708" w:footer="708" w:gutter="0"/>
          <w:cols w:space="720"/>
          <w:noEndnote/>
        </w:sectPr>
      </w:pP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2. Органи управління та посадові особи. Організаційна структура</w:t>
      </w:r>
    </w:p>
    <w:p w:rsidR="00EA6A33" w:rsidRDefault="00433844">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1450"/>
        <w:gridCol w:w="4000"/>
        <w:gridCol w:w="4000"/>
      </w:tblGrid>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14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органу управління (контролю)</w:t>
            </w:r>
          </w:p>
        </w:tc>
        <w:tc>
          <w:tcPr>
            <w:tcW w:w="4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Кількісний склад органу управління (контролю)</w:t>
            </w:r>
          </w:p>
        </w:tc>
        <w:tc>
          <w:tcPr>
            <w:tcW w:w="40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Персональний склад органу управління (контролю)</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4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40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EA6A33">
        <w:trPr>
          <w:trHeight w:val="200"/>
        </w:trPr>
        <w:tc>
          <w:tcPr>
            <w:tcW w:w="55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Загальнi збори акцiонерiв</w:t>
            </w:r>
          </w:p>
        </w:tc>
        <w:tc>
          <w:tcPr>
            <w:tcW w:w="40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(один) акцiонер</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Станом на 30.06.2026: IНГ Банк Н.В. - єдиний акцiонер Банку</w:t>
            </w:r>
          </w:p>
        </w:tc>
      </w:tr>
      <w:tr w:rsidR="00EA6A33">
        <w:trPr>
          <w:trHeight w:val="200"/>
        </w:trPr>
        <w:tc>
          <w:tcPr>
            <w:tcW w:w="55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45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Наглядова Рада</w:t>
            </w:r>
          </w:p>
        </w:tc>
        <w:tc>
          <w:tcPr>
            <w:tcW w:w="40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(п'ять) осiб</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Станом на 30.06.2026:</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пан Роберт Корнелiс Альберт Якоб Марiя Вайман, голова Наглядової Ради (незалежний); </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пан Маркус Хубертус Йоханнес Балтуссен, член Наглядової Ради (представник акцiонера);</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пан Мухтар Бубєєв, член Наглядової Ради (незалежний);</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пан Петрус Паулюс Марiя Вальк, член Наглядової Ради (незалежний); </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панi Айрiс Iзабель Дезiре Хiнтербергер, член Наглядової Ради (представник акцiонера)</w:t>
            </w:r>
          </w:p>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200"/>
        </w:trPr>
        <w:tc>
          <w:tcPr>
            <w:tcW w:w="55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45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Правлiння</w:t>
            </w:r>
          </w:p>
        </w:tc>
        <w:tc>
          <w:tcPr>
            <w:tcW w:w="40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(п'ять) осiб</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Станом на 30.06.2026:</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панi Олена Михальченко, Голова Правлiння; </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пан Костянтин Мартусенко, Заступник Голови Правлiння по роботi з мiжнародними та крупними корпоративними клiєнтами; </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пан Олександр Мiщенко, Член Правлiння з питань комплаєнсу з покладеними функцiями вiдповiдального працiвника банку за проведення фiнансового</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монiторингу; </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пан Андрiй Потапов, Член Правлiння з фiнансових ринкiв та казначейства; </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панi Ольга Курiнна, Член Правлiння з операцiйної дiяльностi.</w:t>
            </w:r>
          </w:p>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bl>
    <w:p w:rsidR="00EA6A33" w:rsidRDefault="00EA6A33">
      <w:pPr>
        <w:widowControl w:val="0"/>
        <w:autoSpaceDE w:val="0"/>
        <w:autoSpaceDN w:val="0"/>
        <w:adjustRightInd w:val="0"/>
        <w:spacing w:after="0" w:line="240" w:lineRule="auto"/>
        <w:rPr>
          <w:rFonts w:ascii="Times New Roman CYR" w:hAnsi="Times New Roman CYR" w:cs="Times New Roman CYR"/>
        </w:rPr>
      </w:pPr>
    </w:p>
    <w:p w:rsidR="00EA6A33" w:rsidRDefault="00EA6A33">
      <w:pPr>
        <w:widowControl w:val="0"/>
        <w:autoSpaceDE w:val="0"/>
        <w:autoSpaceDN w:val="0"/>
        <w:adjustRightInd w:val="0"/>
        <w:spacing w:after="0" w:line="240" w:lineRule="auto"/>
        <w:rPr>
          <w:rFonts w:ascii="Times New Roman CYR" w:hAnsi="Times New Roman CYR" w:cs="Times New Roman CYR"/>
        </w:rPr>
        <w:sectPr w:rsidR="00EA6A33">
          <w:pgSz w:w="12240" w:h="15840"/>
          <w:pgMar w:top="570" w:right="720" w:bottom="570" w:left="720" w:header="708" w:footer="708" w:gutter="0"/>
          <w:cols w:space="720"/>
          <w:noEndnote/>
        </w:sectPr>
      </w:pP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щодо посадових осіб</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 яку займав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 (незалежний директор)</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Роберт Корнелiс Альберт Якоб Марiя Вайман</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1956</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Унiверситет Еразма в Роттердамi</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49</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WAT (Wijman Advisory and Training)</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64902978</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керуючий директор, власник, засновник</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30.04.2024</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 (представник акцiонера)</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Маркус Хубертус Йоханнес Балтуссен</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1966</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Унiверситет Неймеген</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24</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IНГ Банк Н.В., Нiдерланди</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33031431</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Виконавчий директор з металiв та майнiнгу</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30.04.2024</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 (незалежний директор</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Мухтар Бубєєв</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1978</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Казахський економiчний унiверситет</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Управлiння фiнансових послуг Астани</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171040900012</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генеральний директор</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30.04.2024</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 (незалежний директор)</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Петрус Паулюс Марiя Вальк</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1949</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Утрехтський унiверситет</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48</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30.04.2024</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 (представник акцiонера)</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Айрiс Iзабель Дезiре Хiнтербергер</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1979</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Унiверситет Меца / HTW Саарбрюкен, Нiмеччина / Францiя</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IНГ Груп Н.В., Нiдерланди</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33231073</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Глобальний керiвник вiддiлу нефiнансових ризикiв для корпоративно банку</w:t>
            </w:r>
          </w:p>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08.04.2024</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 яку займав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Правлiння</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Михальченко Олена Георгiївна</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1976</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Київський державний економiчний унiверситет</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20</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Акцiонерне товариство "IНГ Банк Україна" </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21684818</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заступник Голови Правлiння з управлiння ризиками</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02.09.2022</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без термiну</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Заступник Голови Правлiння по роботi з мiжнародними та крупними корпоративними клiєнтами</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Мартусенко Костянтин Олександрович</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1978</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Мiжнародний Унiверситет Фiнансiв</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Акцiонерне товариство "IНГ Банк Україна"</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21684818</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начальник Управлiння мiжнародних та крупних корпоративних клiєнтiв</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04.04.2023</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без термiну</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Правлiння з питань комплаєнсу з покладеними функцiями вiдповiдального працiвника банку за проведення фiнансового монiторингу</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Мiщенко Олександр Григорович</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1986</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Нацiональний унiверситет державної податкової служби України</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18</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Акцiонерне товариство "IНГ Банк Україна"</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21684818</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Правлiння вiдповiдальний працiвник за проведення фiнансового монiторингу</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01.02.2020</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без термiну</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Правлiння з фiнансових ринкiв та казначейства</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Потапов Андрiй Валерiйович</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1973</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Київський унiверситет iм. Т. Шевченка</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31</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Акцiонерне товариство "IНГ Банк Україна"</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21684818</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Начальник управлiння фiнансових ринкiв та казначейства</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21.04.2021</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без термiну</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Правлiння з операцiйної дiяльностi</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Курiнна Ольга Борисiвна</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1971</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Академiя працi i соцiальних вiдносин</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33</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Акцiонерне товариство "IНГ Банк Україна"</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21684818</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начальник Управлiння з клiєнтського обслуговування та операцiйної дiяльностi</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16.07.2022</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без термiну</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Інші посадові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 яку займав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Нестеренко Павло Едуардович</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1987</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Нацiональний унiверситет "Києво-Могилянська академiя"</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16</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Акiонерне товариство "Дойче Банк ДБУ"</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36520434</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Заступник головного бухгалтера</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25.12.2025</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безстроково</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Начальник вiддiлу внутрiшнього аудиту</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Горiшняк Юлiя Сергiївна</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1983</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Київський нацiональний економiчний унiверситет</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18</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Акцiонерне товариство "Укрпошта" </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21560045</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 департаменту внутрiшнього аудиту;</w:t>
            </w:r>
          </w:p>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Товариство з об меженою вiдповiдальнiстю "ПЕЙСЕЛЛ", 41498322, Внутрiшнiй аудитор (за сумiсництвом), </w:t>
            </w:r>
          </w:p>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Товариство з обмеженою вiдповiдальнiстю "Лайфселл", 22859846, Експерт з бiзнес аудиту</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09.04.2025</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без термiну</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r w:rsidR="00EA6A33">
        <w:trPr>
          <w:trHeight w:val="200"/>
        </w:trPr>
        <w:tc>
          <w:tcPr>
            <w:tcW w:w="5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0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Корпоративний секретар</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Сапун Лариса Василiвна</w:t>
            </w:r>
          </w:p>
        </w:tc>
        <w:tc>
          <w:tcPr>
            <w:tcW w:w="11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1979</w:t>
            </w:r>
          </w:p>
        </w:tc>
        <w:tc>
          <w:tcPr>
            <w:tcW w:w="1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Київський Нацiональний Унiверситет iм.Шевченка</w:t>
            </w:r>
          </w:p>
        </w:tc>
        <w:tc>
          <w:tcPr>
            <w:tcW w:w="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25</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Акцiонерне товариство "IНГ БАНК УКРАЇНА"</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21684818</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юридичний радник,</w:t>
            </w:r>
          </w:p>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Акцiонерне товариство "КРЕДI АГРIКОЛЬ БАНК", 14361575, керiвник напрямку корпоративного управлiння Юридичного департаменту,  </w:t>
            </w:r>
          </w:p>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Акцiонерне товариство "СЕНС БАНК", 23494714, Начальник вiддiлу правового забезпечення адмiнiстративної практики Юридичного департаменту.</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01.04.2026</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EA6A33" w:rsidRDefault="00EA6A33">
      <w:pPr>
        <w:widowControl w:val="0"/>
        <w:autoSpaceDE w:val="0"/>
        <w:autoSpaceDN w:val="0"/>
        <w:adjustRightInd w:val="0"/>
        <w:spacing w:after="0" w:line="240" w:lineRule="auto"/>
        <w:rPr>
          <w:rFonts w:ascii="Times New Roman CYR" w:hAnsi="Times New Roman CYR" w:cs="Times New Roman CYR"/>
          <w:sz w:val="20"/>
          <w:szCs w:val="20"/>
        </w:rPr>
      </w:pP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щодо корпоративного секретаря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350"/>
        <w:gridCol w:w="2250"/>
        <w:gridCol w:w="1300"/>
        <w:gridCol w:w="1300"/>
        <w:gridCol w:w="1200"/>
        <w:gridCol w:w="3600"/>
        <w:gridCol w:w="1400"/>
        <w:gridCol w:w="1900"/>
        <w:gridCol w:w="1100"/>
      </w:tblGrid>
      <w:tr w:rsidR="00EA6A33">
        <w:trPr>
          <w:trHeight w:val="200"/>
        </w:trPr>
        <w:tc>
          <w:tcPr>
            <w:tcW w:w="13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призначення на посаду</w:t>
            </w:r>
          </w:p>
        </w:tc>
        <w:tc>
          <w:tcPr>
            <w:tcW w:w="22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3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13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36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 яку займав</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w:t>
            </w:r>
          </w:p>
        </w:tc>
        <w:tc>
          <w:tcPr>
            <w:tcW w:w="1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Контактні дані (телефон та адреса електронної пошти корпоративного секретаря)</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EA6A33">
        <w:trPr>
          <w:trHeight w:val="200"/>
        </w:trPr>
        <w:tc>
          <w:tcPr>
            <w:tcW w:w="13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2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13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3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1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36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1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r>
      <w:tr w:rsidR="00EA6A33">
        <w:trPr>
          <w:trHeight w:val="200"/>
        </w:trPr>
        <w:tc>
          <w:tcPr>
            <w:tcW w:w="13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30.03.2026</w:t>
            </w:r>
          </w:p>
        </w:tc>
        <w:tc>
          <w:tcPr>
            <w:tcW w:w="22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Сапун Лариса Василiвна</w:t>
            </w:r>
          </w:p>
        </w:tc>
        <w:tc>
          <w:tcPr>
            <w:tcW w:w="13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300" w:type="dxa"/>
            <w:tcBorders>
              <w:top w:val="single" w:sz="6" w:space="0" w:color="auto"/>
              <w:left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25</w:t>
            </w:r>
          </w:p>
        </w:tc>
        <w:tc>
          <w:tcPr>
            <w:tcW w:w="36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АКЦIОНЕРНЕ ТОВАРИСТВО "IНГ БАНК УКРАЇНА"</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21684818</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юридичний радник, Акцiонерне товариство "КРЕДI АГРIКОЛЬ БАНК", 14361575, керiвник напрямку корпоративного управлiння Юридичного департаменту,  Акцiонерне товариство "СЕНС БАНК", 23494714, Начальник вiддiлу правового забезпечення адмiнiстративної практики Юридичного департаменту</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9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+380443541010</w:t>
            </w: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larysa.sapun@ing.com</w:t>
            </w:r>
          </w:p>
        </w:tc>
        <w:tc>
          <w:tcPr>
            <w:tcW w:w="11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EA6A33" w:rsidRDefault="00EA6A33">
      <w:pPr>
        <w:widowControl w:val="0"/>
        <w:autoSpaceDE w:val="0"/>
        <w:autoSpaceDN w:val="0"/>
        <w:adjustRightInd w:val="0"/>
        <w:spacing w:after="0" w:line="240" w:lineRule="auto"/>
        <w:rPr>
          <w:rFonts w:ascii="Times New Roman CYR" w:hAnsi="Times New Roman CYR" w:cs="Times New Roman CYR"/>
          <w:sz w:val="20"/>
          <w:szCs w:val="20"/>
        </w:rPr>
      </w:pPr>
    </w:p>
    <w:p w:rsidR="00EA6A33" w:rsidRDefault="00EA6A33">
      <w:pPr>
        <w:widowControl w:val="0"/>
        <w:autoSpaceDE w:val="0"/>
        <w:autoSpaceDN w:val="0"/>
        <w:adjustRightInd w:val="0"/>
        <w:spacing w:after="0" w:line="240" w:lineRule="auto"/>
        <w:rPr>
          <w:rFonts w:ascii="Times New Roman CYR" w:hAnsi="Times New Roman CYR" w:cs="Times New Roman CYR"/>
          <w:sz w:val="20"/>
          <w:szCs w:val="20"/>
        </w:rPr>
        <w:sectPr w:rsidR="00EA6A33">
          <w:pgSz w:w="16837" w:h="11905" w:orient="landscape"/>
          <w:pgMar w:top="570" w:right="720" w:bottom="570" w:left="720" w:header="708" w:footer="708" w:gutter="0"/>
          <w:cols w:space="720"/>
          <w:noEndnote/>
        </w:sectPr>
      </w:pPr>
    </w:p>
    <w:p w:rsidR="00EA6A33" w:rsidRDefault="00433844">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3. Структура власності</w:t>
      </w: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https://www.ingwb.com/ua/service/vidpovidnist/konfidentsiynist-ta-privatnist/ukrayina/corp-documents</w:t>
      </w:r>
    </w:p>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4. Опис господарської та фінансової діяльності</w:t>
      </w: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належнiсть особи до будь-яких об'єднань пiдприємств, повне найменування та мiсцезнаходження об'єднання, опис дiяльностi об'єднання, строк участi особи у вiдповiдному об'єднаннi, роль особи в об'єднаннi, посилання на вебсайт об'єднання;</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Банк не належить до будь-яких об'єднань.</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Натомiсть, Банк є членом непiдприємницьких неприбуткових професiйних асоцiацiй, зокрема: </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Асоцiацiї "Незалежна асоцiацiя банкiв України" (код ЄДРПОУ 37924657), мiсцезнаходження: вул. Велика Василькiвська (Червоноармiйська), 72, 3 пiд'їзд, поверх 3, офiс 96, м. Київ, Україна, 03150. Асоцiацiя створена на невизначений строк як недержане непiдприємницьке неприбуткове договiрне об'єднання самостiйних українських юридичних осiб (пiдприємств), зокрема, банкiв. Асоцiацiя не має права займатися банкiвською чи пiдприємницькою дiяльнiстю i не може бути створенi з метою отримання прибутку (стаття 13 Закону України "Про банки i банкiвську дiяльнiсть"). Банк користується всiма правами та дотримується обов'язкiв, якi передбаченi для члена Асоцiацiї її Статутом. Вебсайт Асоцiацiї - https://nabu.ua/; </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Професiйної асоцiацiї учасникiв ринкiв капiталу та деривативiв (код ЄДРПОУ 24382704), мiсцезнаходження: вул. Євгена Сверстюка, 19, офiс 311, Київ, Україна, 02002. Асоцiацiя є неприбутковим договiрним об'єднанням учасникiв ринкiв капiталу, що провадять професiйну дiяльнiсть на ринках капiталу, яка здiйснюється на пiдставi лiцензiї. Банк користується всiма правами та дотримується обов'язкiв, якi передбаченi для члена Асоцiацiї її Статутом. Вебсайт Асоцiацiї - https://www.pard.ua/.</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спiльна дiяльнiсть, яку особа проводить з iншими органiзацiями, пiдприємствами, установами, при цьому зазначаються сума вкладiв, мета вкладiв (отримання прибутку, iншi цiлi) та отриманий фiнансовий результат за звiтний рiк з кожного виду спiльної дiяльностi;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Банк не проводить спiльної дiяльностi з iншими органiзацiями, пiдприємствами та установами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опис обраної облiкової полiтики (метод нарахування амортизацiї, метод оцiнки вартостi запасiв, метод облiку та оцiнки вартостi фiнансових iнвестицiй тощо);</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Опис обраної облiкової полiтики (метод нарахування амортизацiї, метод оцiнки вартостi запасiв, метод облiку та оцiнки вартостi фiнансових iнвестицiй тощо) представлений у примiтцi 3 Фiнансової звiтностi Банку, що розмiщена на офiцiйному сайтi Банку за посиланням: https://www.ingwb.com/ua/service/vidpovidnist/konfidentsiynist-ta-privatnist/ukrayina/finansova-zvitnist.</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опис обраної полiтики щодо фiнансування дiяльностi особи, достатнiсть робочого капiталу для поточних потреб, можливi шляхи покращення лiквiдностi;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Опис обраної полiтики щодо фiнансування дiяльностi особи, достатнiсть робочого капiталу для поточних потреб, можливi шляхи покращення лiквiдностi представлений у примiтцi 3 Фiнансової звiтностi Банку, що розмiщена на офiцiйному сайтi Банку за посиланням: https://www.ingwb.com/ua/service/vidpovidnist/konfidentsiynist-ta-privatnist/ukrayina/finansova-zvitnist</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 опис полiтики щодо дослiджень та розробок, сума витрат на дослiдження та розробку за звiтний рiк;</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Банк не проводить дослiджень та розробок, опис полiтики щодо дослiджень та розробок, сума витрат на дослiдження та розробку за звiтний рiк - вiдсутня.</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щодо продуктiв (товарiв або послуг) особи: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опис продуктiв (товарiв та/або послуг), якi виробляє/надає особа; </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Основнi продукти та послуги: </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 кредитування корпоративних клiєнтiв; </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 розрахункове обслуговування, депозити, поточнi рахунки; </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 торгове фiнансування та iншi транзакцiйнi послуги; </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 валютообмiннi операцiї; </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5. операцiї з похiдними фiнансовими iнструментами; </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iншi продукти та операцiї згiдно з банкiвською лiцензiєю та чинним законодавством. Детальна iнформацiя мiститься у Фiнансової звiтностi Банку та Звiтi Керiвництва, що розмiщена на офiцiйному сайтi Банку за посиланням:  https://www.ingwb.com/ua/service/vidpovidnist/konfidentsiynist-ta-privatnist/ukrayina/finansova-zvitnist.</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АТ "IНГ Банк Україна" позицiонує себе на ринку як корпоративний банк, оскiльки вважає корпоративний бiзнес для себе ключовим при генерацiї доходiв. Банк планує i надалi здiйснювати банкiвську дiяльнiсть в Українi у вiдповiдностi зi Стратегiєю IНГ Групи та Стратегiєю Банку щодо корпоративного бiзнесу, що полягає в обслуговуваннi мiжнародних компанiй, якi є глобальними клiєнтами IНГ Групи, та великих українських компанiй, що вiдповiдають критерiям Банку (вiдсутнiсть комплаєнс ризикiв, фiнансова звiтнiсть, перевiрена аудитом i т.д.). Банк вбачає для себе можливостi на ринку України для подальшого зростання.</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обсяги виробництва (у натуральному та грошовому виразi);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не вказується фiнансовими установами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середньореалiзацiйнi цiни продуктiв;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не вказується фiнансовими установами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загальна сума виручки;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силу специфiки дiяльностi Емiтента така iнформацiя не розкривається</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загальна сума експорту, частка експорту в загальному обсязi продажiв;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не вказується фiнансовими установами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залежнiсть вiд сезонних змiн;</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не вказується фiнансовими установами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основнi клiєнти (бiльше 5 % у загальнiй сумi виручки);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не вказується фiнансовими установами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ринки збуту та країни, в яких особою здiйснюється дiяльнiсть;</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не вказується фiнансовими установами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канали збуту;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не вказується фiнансовими установами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основнi постачальники та види товарiв та/або послуг, якi вони постачають/надають особi, країни з яких здiйснюється постачання/надання товарiв/послуг;</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не вказується фiнансовими установами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особливостi стану розвитку галузi, в якiй здiйснює дiяльнiсть особа;</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Опис представлений у примiтцi 2 Фiнансової звiтностi Банку, що розмiщена на офiцiйному сайтi Банку за посиланням:  https://www.ingwb.com/ua/service/vidpovidnist/konfidentsiynist-ta-privatnist/ukrayina/finansova-zvitnist.</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Опис технологiй, якi використовує особа у своїй дiяльностi;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силу специфiки дiяльностi Емiтента така iнформацiя не розкривається</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мiсце особи на ринку, на якому вона здiйснює дiяльнiсть;</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силу специфiки дiяльностi Емiтента така iнформацiя не розкривається</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рiвень конкуренцiя в галузi, основнi конкуренти особи;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силу специфiки дiяльностi Емiтента така iнформацiя не розкривається</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перспективнi плани розвитку особи: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Опис представлений у примiтцi 3 Фiнансової звiтностi Банку, що розмiщена на офiцiйному сайтi Банку за посиланням:  https://www.ingwb.com/ua/service/vidpovidnist/konfidentsiynist-ta-privatnist/ukrayina/finansova-zvitnist</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7) опис ризикiв, як притаманнi дiяльностi особи, пiдходи до управлiння ризиками, заходи особи щодо зменшення впливу ризикiв;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Стратегiя управлiння ризиками є частиною загальної системи корпоративного управлiння Банку та спрямована на забезпечення стiйкого розвитку в межах реалiзацiї стратегiї Банку.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Метою управлiння ризиками є:</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забезпечення/утримання прийнятного рiвня ризикiв в межах ризик-апетиту та iнших лiмiтiв та обмежень;</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забезпечення достатностi капiталу для покриття суттєвих ризикiв;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забезпечення фiнансової стiйкостi Банку, мiнiмiзацiя можливих фiнансових збиткiв вiд впливу ризикiв, що приймаються Банком у вiдповiдностi зi стратегiєю розвитку;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виконання вимог державних органiв, що регулюють дiяльнiсть Банку;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виконання вимог державних органiв, що регулюють дiяльнiсть Банку;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вiдповiднiсть мiжнародним стандартам та кращим практикам.</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Задачами системи управлiння ризиками, що закрiпленi у внутрiшнiх документах з управлiння ризиками є:</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iдентифiкацiя та оцiнка iстотностi окремих видiв ризикiв;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оцiнка, агрегування та прогнозування рiвня iстотних ризикiв;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встановлення лiмiтiв та обмеження iстотних ризикiв;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монiторинг та контроль об'єму прийнятого ризику, реалiзацiя заходiв щодо зниження рiвня прийнятого ризику з метою його пiдтримання у межах встановлених зовнiшнiх та внутрiшнiх обмежень;</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виконання встановлених Нацiональним банком України (надалi - НБУ) значень обов'язкових нормативiв та обмежень;</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забезпечення ефективного розподiлу ресурсiв для оптимiзацiї спiввiдношення ризику та дохiдностi;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оцiнка достатностi доступних фiнансових ресурсiв для покриття iснуючих ризикiв;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планування капiталу виходячи з результатiв оцiнки iстотних ризикiв, тестування стiйкостi Банку по вiдношенню до внутрiшнiх та зовнiшнiх факторiв ризику, орiєнтирiв стратегiї розвитку бiзнесу, вимог НБУ щодо достатностi внутрiшнього капiталу та внутрiшньої лiквiдностi;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забезпечення єдиного розумiння ризикiв та стратегiчного планування з урахуванням прийнятного рiвня ризику;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iнформування Наглядової ради, Правлiння, iнших колегiальних органiв та пiдроздiлiв Банку, пов'язаних з управлiнням ризиками про суттєвi ризики та достатнiсть капiталу та лiквiдностi;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розвиток ризик-культури та компетенцiй з управлiння ризиками.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Загальнi принципи управлiння ризиками: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Обiзнанiсть про ризик</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Управлiння дiяльнiстю з урахуванням прийнятного ризику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Залучення вищого керiвництва</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Обмеження ризикiв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Розподiл функцiй</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Централiзований та децентралiзований пiдходи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Iнформацiйнi технологiї та якiсть даних</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Удосконалення методiв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Ризик-культура</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Система мотивацiї з урахуванням ризикiв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Розкриття iнформацiї.</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Схильнiсть до цiнових ризикiв, кредитного ризику, ризику лiквiдностi та/або ризику грошових потокiв: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Банк визначає наступнi види ризикiв, якi є суттєвими для Банку: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Кредитний ризик</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Ринковий ризик</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Процентний ризик банкiвської книги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Ризик фiнансування та лiквiдностi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ab/>
        <w:t>Нефiнансовий ризик</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Цiновий ризик виникає в умовах несприятливого коливання цiн фiнансових iнструментiв, що знаходяться у торговому портфелi Банку. Схильнiсть Банку до ризику змiни цiн виражається у ринковому ризику та процентному ризику торгової книги. У процесi управлiння цiновими ризиками Банк дотримується встановленої прибутковостi продуктiв та ринкових умов. За необхiдностi Банк має можливiсть своєчасно переглядати цiнову полiтику та адаптувати вартiсть продуктiв до ринкових умов та запланованих показникiв прибутковостi.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Цiновий ризик виникає в умовах несприятливого коливання цiн фiнансових iнструментiв, що знаходяться у торговому портфелi Банку. Схильнiсть Банку до ризику змiни цiн виражається у ринковому ризику та процентному ризику торгової книги. У процесi управлiння цiновими ризиками Банк дотримується встановленої прибутковостi продуктiв та ринкових умов. За необхiдностi Банк має можливiсть своєчасно переглядати цiнову полiтику та адаптувати вартiсть продуктiв до ринкових умов та запланованих показникiв прибутковостi.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Ризик фiнансування i лiквiдностi включає у себе три пiдризики, а саме  два звичайних (Структурний та Поведiнковий ризики) i один за стресових умов функцiонування (Стресовий ризик):</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Структурний ризик фiнансування i лiквiдностi: потенцiйний негативний вплив на прибуток або позицiю лiквiдностi Банку через невiдповiднiсть мiж очiкуваними термiнами повернення активiв i зобов'язань (включаючи позабалансовi позицiї Банку). Поведiнковий ризик фiнансування i лiквiдностi: потенцiйний негативний вплив на прибуток або позицiю лiквiдностi Банку у зв'язку з продуктами iз вбудованими опцiонами (як от дострокове погашення кредитiв або дострокове вiдкликання депозитiв). При цьому Банк не визнає наявнiсть поведiнкового ризику лiквiдностi за фiнансовими iнструментами, що формують його лiквiднi позицiї, так як клiєнти Банку не мають права вимагати, а виключно мають право запросити змiну контрактного графiку грошових потокiв. I вiдповiдно за кожним таким запитом Управлiнням фiнансових ринкiв та казначейства Банку приймається окреме рiшення щодо можливостi такої змiни або вiдмовi клiєнту у такiй змiнi. Стресовий ризик фiнансування i лiквiдностi - ризик того, що Банк може мати труднощi з виконанням своїх фiнансових зобов'язань у повнiй мiрi та в строк через нестачу наявних коштiв та одночасну неможливiсть своєчасного залучення грошових коштiв за прийнятною цiною у виглядi нового незабезпеченого фiнансування або пролонгацiї iснуючих кредитних лiнiй чи продажу / репо активiв при настаннi стресових подiй на ринку. Полiтика управлiння ризиками фiнансування та лiквiдностi передбачає як належне розмiщення лiквiдних коштiв Банку, так i своєчасне виконання банкiвських зобов'язань перед контрагентами. При цьому Управлiння фiнансових ринкiв та казначейства  здiйснює щоденний монiторинг та управлiння лiквiдною позицiєю Банку, а за необхiдностi забезпечує достатнiй запас лiквiдностi та оптимiзує грошовi потоки через операцiї на грошовому ринку та ринку капiталiв. Керiвництво Банку, у тому числi керiвники пiдроздiлiв Банку, яким вказана iнформацiя необхiдна у процесi їх дiяльностi, отримують щотижневий аналiз та щоденнi звiти, а КУАП здiйснює щомiсячнi перевiрки управлiння ризиком лiквiдностi. Банк оцiнює схильнiсть до ризику фiнансування та лiквiдностi на низькому рiвнi. Банк залишається стабiльно високолiквiдним. У першу чергу це досягається за рахунок консервативного пiдходу до управлiння лiквiдними позицiями, як от невикористання реплiкацiї портфелю поточних рахункiв, вiдтак не вiдбувається видачi строкових кредитiв за рахунок такого нестабiльного джерела фiнансування як поточнi рахунки. Окрiм того, у Банку створено значний портфель необтяжених високоякiсних лiквiдних активiв, що є буфером лiквiдностi для Банку. А фактичнi значення нормативiв лiквiдностi, встановлених Нацiональним банком України, перевищують вiдповiднi нормативнi значення у кiлька разiв та вiдтак є достатнiми не лише для виконання зобов'язань Банку, у повнiй мiрi та вчасно, як за звичайних умов, так i у разi розвитку кризи лiквiдностi на ринку. Однак Банк визнає, що бiзнес-модель та розмiр Банку спричиняють негативний наслiдок на рiвень ризику фiнансування та лiквiдностi у виглядi значного рiвня концентрацiї у основних портфелях Банку (кредитному, депозитному тощо). Вiдтак, постiйному монiторингу рiвня концентрацiї Банк придiляє особливу увагу. При цьому рiвень концентрацiї компенсується консервативним пiдходом до використання наявної лiквiдностi Банку, значним буфером лiквiдностi, використанням суворих стрес-сценарiїв при стрес-тестуваннi ризику фiнансування та лiквiдностi. Банк не очiкує суттєвих змiн у експозицiї до ризику фiнансування та лiквiдностi у 2026 роцi. У Банку запроваджена вiдповiдна система управлiнської звiтностi, що забезпечує користувачiв достатньою iнформацiєю про розмiр та структуру активiв та пасивiв Банку, включаючи iнформацiю щодо концентрацiї активiв та пасивiв у розрiзi строкiв, валют та клiєнтiв. Ризики, пов'язанi з концентрацiєю кредитiв та депозитiв пiдлягають постiйному монiторингу. Керiвництво Банку визнає ризики, пов'язанi з можливою високою концентрацiєю активiв та зобов'язань та забезпечує вiдповiдний контроль. Зокрема, у Банку здiйснюється щоденний попереднiй аналiз запасу лiквiдностi у разi видачi нових кредитiв або пролонгацiї iснуючих. У процесi управлiння ризиком лiквiдностi Банк дотримується нормативiв лiквiдностi, що визначенi в Iнструкцiї про порядок регулювання дiяльностi банкiв в Українi, яка затверджена Постановою правлiння НБУ вiд 28.08.2001 №368. Вiдповiдно до Iнструкцiї Банк здiйснює постiйний контроль за виконанням вимог щодо банкiвської лiквiдностi, передбаченими обов'язковими нормативами НБУ.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Валютний ризик може збiльшуватись у результатi несприятливих коливань валютних курсiв, у яких Банк утримує вiдкритi валютнi позицiї. Схильнiсть Банку до валютного ризику оцiнюється як прийнятна з урахуванням розмiру позицiй Банку в iноземних валютах та режиму керованої гнучкостi курсу долара США по вiдношенню до нацiональної валюти. У процесi управлiння валютним ризиком Банк дотримується як нормативiв вiдкритої валютної позицiї, що визначенi положеннями НБУ, так i додатково внутрiшнiх лiмiтiв. У Банку окрiм обмежень валютного ризику, встановлених Нацiональним банком України (лiмiти Л13-1 та Л13-2), дiє також система власних обмежень валютного ризику, яка включає лiмiти вiдкритих валютних позицiй за кожною окремою iноземною валютою, обмеження перелiку iноземних валют, в яких Банк має право провадити свою дiяльнiсть та здiйснювати операцiї, що генерують даний вид ризику, оцiнка Value-at-Risk (iсторичний пiдхiд), оцiнка Stressed Value-at-Risk, обмеження за типами операцiй, якi генерують валютний ризик (в основному обмежено виключно операцiями валютообмiну на умовах спот). Банк вважає, що, використовуючи поточний пiдхiд до операцiй, що генерують валютний ризик, й надалi може провадити прибуткову дiяльнiсть у таких операцiях та при цьому не збiльшувати власну експозицiю до валютного ризику.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Кредитний ризик - iмовiрнiсть виникнення збиткiв або додаткових втрат або недоотримання запланованих доходiв унаслiдок невиконання боржником/контрагентом узятих на себе зобов'язань вiдповiдно до умов договору. Банк здiйснює управлiння кредитним ризиком через систему внутрiшнiх полiтик iз розподiлом функцiй мiж бiзнес пiдроздiлами та ризик-менеджментом. Оцiнка позичальникiв проводиться на основi фiнансового аналiзу (оцiнки фiнансового стану), перевiрки кредитної iсторiї та якостi забезпечення. Банк забезпечує пiдтримання рiвня високоякiсних, з точки зору ризиковостi, активiв Банку та мiнiмiзацiю витрат вiд кредитних ризикiв. Для монiторингу ризику встановлюються лiмiти ризику та показники ризик-апетиту щодо кредитного ризику. Стан позичальникiв регулярно монiториться з використанням iндикаторiв раннього попередження. Проблемна заборгованiсть супроводжується спецiалiзованим пiдроздiлом. Система контролю забезпечує своєчасне виявлення погiршень i пiдтримує вiдповiднiсть регуляторним вимогам.</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структурi видiв ринкових ризикiв, до яких схильний Банк, Банк визнає iснування виключно валютного ризику (описаного вище), а також процентного ризику торгової книги, який генерується виключно угодами валютного свопу, якi включенi до торгової книги Банку та угодами внутрiшнього фондування такий процентний ризик передається для оперативного та стратегiчного управлiння у книгу Управлiння фiнансових ринкiв та казначейства. Банк не визнає iншi види ринкових ризикiв, так як не утримує у власних портфелях вiдповiднi фiнансовi iнструменти, що можуть їх генерувати.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Процентний ризик - це ризик впливу змiн процентних ставок на грошовi потоки чи справедливу вартiсть портфелю фiнансових iнструментiв. Банк наражається на процентний ризик, в основному, внаслiдок надання кредитiв за фiксованими процентними ставками в сумах i на строки, що вiдрiзняються вiд строкових позик за фiксованими процентними ставками. Схильнiсть Банку до процентного ризику оцiнюється як прийнятна з урахуванням збалансування термiнiв виданих кредитiв та залучених депозитiв. Банк оцiнює схильнiсть до процентного ризику банкiвської книги на середньому рiвнi. Протягом 2025 року у порiвняннi з попереднiм звiтним роком схильнiсть Банку до процентного ризику суттєво не змiнилась. Основним фактором та перевагою в контролi та управлiннi процентним ризиком Банк вважає свою бiзнес модель, в якiй основний акцент у провадженнi банкiвських операцiй є обслуговування робочого капiталу клiєнтiв, в результатi чого як кредитний, так i депозитний портфелi Банку є переважно короткостроковими та збалансованими, вiдтак, можуть оперативно та практично одночасно реагувати на змiни ринкових процентних ставок, таким чином Банк досягає достатньо високого рiвня стабiльностi власного чистого процентного доходу. Окрiм того, Банк керує процентним ризиком як на стратегiчному рiвнi (через показники змiни чистого процентного доходу та змiни економiчної вартостi капiталу), так i на оперативному рiвнi - через показник чутливостi на 1 базисний пункт, вiдтак, будь-якi, навiть несуттєвi змiни у експозицiї Банку до процентного ризику доводяться до керiвництва Банку на щоденнiй основi, тому управлiнський персонал має можливiсть практично миттєво реагувати на будь-якi несприятливi його змiни. У наступнi перiоди Банк не очiкує суттєвих змiн у експозицiї до процентного ризику, так як не має намiрiв суттєво змiнювати бiзнес модель, а вiдтак вiдносно стабiльною має залишитись строкова структура портфелiв Банку. Також не очiкується погiршення системи виявлення, монiторингу та управлiння процентним ризиком банкiвської книги.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Управлiння валютним та процентним ризиками здiйснюється Управлiнням фiнансових ринкiв та казначейства за участю Комiтету з управлiння активами та пасивами (далi - КУАП), Вiддiлу ринкових ризикiв та iнших пiдроздiлiв у межах покладених на них функцiй. Управлiння фiнансових ринкiв та казначейства здiйснює щоденний монiторинг та управлiння валютними та процентними позицiями Банку, а за необхiдностi забезпечує належне хеджування наявних вiдкритих позицiй через операцiї на валютному, грошовому ринках та ринку капiталiв.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 стратегiя подальшої дiяльностi особи щонайменше на рiк (щодо розширення виробництва, реконструкцiї, полiпшення фiнансового стану, опис iстотних факторiв, якi можуть вплинути на дiяльнiсть особи в майбутньому);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Глобальна цiль Банку як частини IНГ Групи: Розширення можливостей людей залишатися на крок попереду у життi та бiзнесi. Для цього Банк робить те, що вирiзняє його якiснi властивостi вiд iнших, з метою забезпечення клiєнта найкращим стабiльним досвiдом роботи шляхом надання цифрових послуг, при цьому забезпечуючи операцiйну стiйкiсть та безперервнiсть банкiвських послуг. Прiоритети Банку: o Пiдтримання найвищого рiвня цiлiсностi бiзнесу; o Максимiзацiя рентабельностi капiталу Банку для ING Групи та її акцiонерiв; o Рацiональне управлiння фiнансовими та нефiнансовими ризиками; o Дотримання у повнiй мiрi локальних вимог та вiдповiдних мiжнародних банкiвських правил; o Пiдвищення оперативної ефективностi; o Пiдтримка бездоганної дiлової репутацiї; o Постiйне змiцнення стандартiв корпоративного управлiння; o Сприяння мережi; o Операцiйна стiйкостi та безперервнiсть банкiвських послуг; o Безпека персоналу; o Збереження активiв; o Впровадження новiтнiх технологiй для покращення iнформацiйної безпеки. Стратегiчний фокус для Банку: Мiжнароднi Клiєнти: Банк є невiд'ємною частиною Корпоративного Банкiнгу IНГ Групи. Основною метою в органiзацiї є надання послуг активним мiжнародним клiєнтам IНГ в Українi. Аграрний Сектор: В Українi IНГ використовує свою потужну експертизу в аграрному секторi та торгiвельному Фiнансуваннi. Багатопродуктовий бiзнес з провiдними аграрними корпорацiями є другим фокусом Банку. Фокус на розвитку мiжбанкiвських продуктiв: Розвиток продуктiв на мiжбанкiвському ринку є основним напрямком зростання. Детальна iнформацiя також представлена у Фiнансовiй звiтностi Банку, що розмiщена на офiцiйному сайтi за посиланням:  https://www.ingwb.com/ua/service/vidpovidnist/konfidentsiynist-ta-privatnist/ukrayina/finansova-zvitnist.</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9) основнi придбання або вiдчуження активiв за останнi п'ять рокiв, а також якщо плануються будь-якi значнi iнвестицiї або придбання, то також необхiдно надати їх опис, включаючи суттєвi умови придбання або iнвестицiї, їх вартiсть i спосiб фiнансування;</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Детальна iнформацiя щодо змiн в активах Банку представлена у Фiнансовiй звiтностi Банку, що розмiщена на офiцiйному сайтi Банку за посиланням:  https://www.ingwb.com/ua/service/vidpovidnist/konfidentsiynist-ta-privatnist/ukrayina/finansova-zvitnist.</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10) основнi засоби особи, включаючи об'єкти оренди та будь-якi значнi правочини особи щодо них; виробничi потужностi та ступiнь використання обладнання, спосiб утримання активiв, мiсцезнаходження основних засобiв. Крiм того, необхiдно описати екологiчнi питання, що можуть позначитися на використаннi активiв пiдприємства, плани капiтального будiвництва, розширення або удосконалення основних засобiв, характер та причини таких планiв, суми видаткiв, у тому числi вже зроблених, методи фiнансування, прогнознi дати початку та закiнчення дiяльностi та очiкуване зростання виробничих потужностей пiсля її завершення;</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Детальна iнформацiя щодо основних засобiв представлена у примiтцi 9 Фiнансовiої звiтностi Банку, що розмiщена на офiцiйному сайтi Банку за посиланням:  https://www.ingwb.com/ua/service/vidpovidnist/konfidentsiynist-ta-privatnist/ukrayina/finansova-zvitnist.</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 проблеми, якi впливають на дiяльнiсть особи, в тому числi ступiнь залежностi вiд законодавчих або економiчних обмежень;</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Iснує суттєва невизначенiсть, пов'язана iз непередбачуваним наразi впливом воєнних дiй на територiї України, що триває, на припущення, що лежать в основi оцiнок керiвництва, яка може поставити пiд сумнiв здатнiсть Банку продовжувати свою дiяльнiсть на безперервнiй основi, i, отже, вiн не зможе реалiзувати свої активи та погасити зобов'язання за звичайного перебiгу господарської дiяльностi. Детальна iнформацiя мiститься у Фiнансової звiтностi Банку, Звiтi про управлiння та Звiтi Керiвництва, що розмiщена на офiцiйному сайтi Банку - https://www.ingwb.com/ua/service/vidpovidnist/konfidentsiynist-ta-privatnist/ukrayina/finansova-zvitnist.</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12) вартiсть укладених, але ще не виконаних договорiв (контрактiв) на кiнець звiтного перiоду (загальний пiдсумок) та очiкуванi прибутки вiд виконання цих договорiв (контрактiв);</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Вартiсть укладених, але ще не виконаних договорiв (контрактiв) на кiнець звiтного перiоду (загальний пiдсумок) та очiкуванi прибутки вiд виконання цих договорiв (контрактiв) - вiдсутнi.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 середньооблiкова чисельнiсть штатних працiвникiв особи, середня чисельнiсть позаштатних працiвникiв та осiб, якi працюють за сумiсництвом, чисельнiсть працiвникiв, якi працюють на умовах неповного робочого часу (дня, тижня), розмiр фонду оплати працi. Крiм того, зазначається про факти змiни розмiру фонду оплати працi, його збiльшення або зменшення вiдносно попереднього звiтного перiоду;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Середньооблiкова чисельнiсть штатних працiвникiв особи - 105 осiб; середня кiлькiсть позаштатних працiвникiв - 3 особи; середня чисельнiсть  осiб, якi працюють за сумiсництвом 10,19; чисельнiсть працiвникiв, якi працюють на умовах неповного робочого часу - 21,19;   витрати на виплати працiвникам 45448679 грн., що бiльше нiж у попередньому звiтному перiодi ( у I кварталi 2026 року - 42970006 грн.)</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14) будь-якi пропозицiї щодо реорганiзацiї з боку третiх осiб, що мали мiсце протягом звiтного перiоду, умови та результати цих пропозицiй;</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Будь-якi пропозицiї щодо реорганiзацiї з боку третiх осiб, що мали мiсце протягом звiтного перiоду, умови та результати цих пропозицiй - вiдсутнi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15) iнша iнформацiя, яка може бути iстотною для оцiнки стейкхолдерами фiнансового стану та результатiв дiяльностi особи.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Iнша iнформацiя, яка може бути iстотною для оцiнки стейкхолдерами фiнансового стану та результатiв дiяльностi особи у Фiнансової звiтностi Банку та Звiтi Керiвництва, що розмiщена на офiцiйному сайтi Банку - https://www.ingwb.com/ua/service/vidpovidnist/konfidentsiynist-ta-privatnist/ukrayina/finansova-zvitnist.</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отриманих особою ліцензій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470"/>
        <w:gridCol w:w="2685"/>
        <w:gridCol w:w="1500"/>
        <w:gridCol w:w="1065"/>
        <w:gridCol w:w="3000"/>
        <w:gridCol w:w="1200"/>
      </w:tblGrid>
      <w:tr w:rsidR="00EA6A33">
        <w:trPr>
          <w:trHeight w:val="200"/>
        </w:trPr>
        <w:tc>
          <w:tcPr>
            <w:tcW w:w="47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685"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ліцензії</w:t>
            </w:r>
          </w:p>
        </w:tc>
        <w:tc>
          <w:tcPr>
            <w:tcW w:w="1065"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видачі</w:t>
            </w:r>
          </w:p>
        </w:tc>
        <w:tc>
          <w:tcPr>
            <w:tcW w:w="3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Орган державної влади, що видав ліцензію</w:t>
            </w:r>
          </w:p>
        </w:tc>
        <w:tc>
          <w:tcPr>
            <w:tcW w:w="12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закінчення строку дії ліцензії (за наявності)</w:t>
            </w:r>
          </w:p>
        </w:tc>
      </w:tr>
      <w:tr w:rsidR="00EA6A33">
        <w:trPr>
          <w:trHeight w:val="200"/>
        </w:trPr>
        <w:tc>
          <w:tcPr>
            <w:tcW w:w="47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685"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065"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3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2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r>
      <w:tr w:rsidR="00EA6A33">
        <w:trPr>
          <w:trHeight w:val="200"/>
        </w:trPr>
        <w:tc>
          <w:tcPr>
            <w:tcW w:w="47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685"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Надання банкiвських послуг, визначених частиною третьою статтi 47 Закону України "Про банки i банкiвську дiяльнiсть" (безстроково)</w:t>
            </w:r>
          </w:p>
        </w:tc>
        <w:tc>
          <w:tcPr>
            <w:tcW w:w="15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w:t>
            </w:r>
          </w:p>
        </w:tc>
        <w:tc>
          <w:tcPr>
            <w:tcW w:w="1065"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07.10.2011</w:t>
            </w:r>
          </w:p>
        </w:tc>
        <w:tc>
          <w:tcPr>
            <w:tcW w:w="30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Нацiональний банк України</w:t>
            </w:r>
          </w:p>
        </w:tc>
        <w:tc>
          <w:tcPr>
            <w:tcW w:w="1200"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200"/>
        </w:trPr>
        <w:tc>
          <w:tcPr>
            <w:tcW w:w="47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685"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Професiйна дiяльнiсть на фондовому ринку - дiяльнiсть з торгiвлi цiнними паперами; Брокерська дiяльнiсть (безстроково)</w:t>
            </w:r>
          </w:p>
        </w:tc>
        <w:tc>
          <w:tcPr>
            <w:tcW w:w="15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АЕ №185072</w:t>
            </w:r>
          </w:p>
        </w:tc>
        <w:tc>
          <w:tcPr>
            <w:tcW w:w="1065"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07.10.2012</w:t>
            </w:r>
          </w:p>
        </w:tc>
        <w:tc>
          <w:tcPr>
            <w:tcW w:w="30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w:t>
            </w:r>
          </w:p>
        </w:tc>
        <w:tc>
          <w:tcPr>
            <w:tcW w:w="1200"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200"/>
        </w:trPr>
        <w:tc>
          <w:tcPr>
            <w:tcW w:w="47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685"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Професiйна дiяльнiсть на фондовому ринку - дiяльнiсть з торгiвлi цiнними паперами; Дилерська дiяльнiсть (безстроково)</w:t>
            </w:r>
          </w:p>
        </w:tc>
        <w:tc>
          <w:tcPr>
            <w:tcW w:w="15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АЕ №185073</w:t>
            </w:r>
          </w:p>
        </w:tc>
        <w:tc>
          <w:tcPr>
            <w:tcW w:w="1065"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07.10.2012</w:t>
            </w:r>
          </w:p>
        </w:tc>
        <w:tc>
          <w:tcPr>
            <w:tcW w:w="30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w:t>
            </w:r>
          </w:p>
        </w:tc>
        <w:tc>
          <w:tcPr>
            <w:tcW w:w="1200"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200"/>
        </w:trPr>
        <w:tc>
          <w:tcPr>
            <w:tcW w:w="47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685"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Професiйна дiяльнiсть на фондовому ринку - дiяльнiсть з торгiвлi цiнними паперами; Субброкерська дiяльнiсть (безстроково)</w:t>
            </w:r>
          </w:p>
        </w:tc>
        <w:tc>
          <w:tcPr>
            <w:tcW w:w="15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w:t>
            </w:r>
          </w:p>
        </w:tc>
        <w:tc>
          <w:tcPr>
            <w:tcW w:w="1065"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23.06.2021</w:t>
            </w:r>
          </w:p>
        </w:tc>
        <w:tc>
          <w:tcPr>
            <w:tcW w:w="30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w:t>
            </w:r>
          </w:p>
        </w:tc>
        <w:tc>
          <w:tcPr>
            <w:tcW w:w="1200"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bl>
    <w:p w:rsidR="00EA6A33" w:rsidRDefault="00EA6A33">
      <w:pPr>
        <w:widowControl w:val="0"/>
        <w:autoSpaceDE w:val="0"/>
        <w:autoSpaceDN w:val="0"/>
        <w:adjustRightInd w:val="0"/>
        <w:spacing w:after="0" w:line="240" w:lineRule="auto"/>
        <w:rPr>
          <w:rFonts w:ascii="Times New Roman CYR" w:hAnsi="Times New Roman CYR" w:cs="Times New Roman CYR"/>
        </w:rPr>
      </w:pPr>
    </w:p>
    <w:p w:rsidR="00EA6A33" w:rsidRDefault="00433844">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основні засоби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8"/>
        <w:gridCol w:w="1260"/>
        <w:gridCol w:w="1080"/>
        <w:gridCol w:w="1260"/>
        <w:gridCol w:w="1080"/>
        <w:gridCol w:w="1260"/>
        <w:gridCol w:w="1082"/>
      </w:tblGrid>
      <w:tr w:rsidR="00EA6A33">
        <w:trPr>
          <w:trHeight w:val="200"/>
        </w:trPr>
        <w:tc>
          <w:tcPr>
            <w:tcW w:w="3058" w:type="dxa"/>
            <w:vMerge w:val="restart"/>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Основні засоби, усього, тис. грн</w:t>
            </w:r>
          </w:p>
        </w:tc>
      </w:tr>
      <w:tr w:rsidR="00EA6A33">
        <w:trPr>
          <w:trHeight w:val="200"/>
        </w:trPr>
        <w:tc>
          <w:tcPr>
            <w:tcW w:w="3058" w:type="dxa"/>
            <w:vMerge/>
            <w:tcBorders>
              <w:top w:val="single" w:sz="6" w:space="0" w:color="auto"/>
              <w:bottom w:val="single" w:sz="6" w:space="0" w:color="auto"/>
              <w:right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28 350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28 880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18 968</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14 160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47 318</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43 040</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6 991</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3 107</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6 991</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3 107</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19 575</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15 902</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19 575</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15 902</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11 977</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11 053</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11 977</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11 053</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8 775</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12 978</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8 775</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12 978</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EA6A33">
        <w:trPr>
          <w:trHeight w:val="200"/>
        </w:trPr>
        <w:tc>
          <w:tcPr>
            <w:tcW w:w="3058"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28 350</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28 880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18 968</w:t>
            </w:r>
          </w:p>
        </w:tc>
        <w:tc>
          <w:tcPr>
            <w:tcW w:w="10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14 160</w:t>
            </w:r>
          </w:p>
        </w:tc>
        <w:tc>
          <w:tcPr>
            <w:tcW w:w="126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47 318</w:t>
            </w:r>
          </w:p>
        </w:tc>
        <w:tc>
          <w:tcPr>
            <w:tcW w:w="1082"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43 040</w:t>
            </w:r>
          </w:p>
        </w:tc>
      </w:tr>
      <w:tr w:rsidR="00EA6A33">
        <w:trPr>
          <w:trHeight w:val="200"/>
        </w:trPr>
        <w:tc>
          <w:tcPr>
            <w:tcW w:w="3058"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7022" w:type="dxa"/>
            <w:gridSpan w:val="6"/>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Детальна iнформацiя про рух основних засобiв представденi у фiнансовiй звiтностi Банку на дату та перiод, що закiнчився 30.06.2026.</w:t>
            </w:r>
          </w:p>
          <w:p w:rsidR="00EA6A33" w:rsidRDefault="00EA6A33">
            <w:pPr>
              <w:widowControl w:val="0"/>
              <w:autoSpaceDE w:val="0"/>
              <w:autoSpaceDN w:val="0"/>
              <w:adjustRightInd w:val="0"/>
              <w:spacing w:after="0" w:line="240" w:lineRule="auto"/>
              <w:jc w:val="both"/>
              <w:rPr>
                <w:rFonts w:ascii="Times New Roman CYR" w:hAnsi="Times New Roman CYR" w:cs="Times New Roman CYR"/>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Cтроки корисного використання:</w:t>
            </w:r>
            <w:r>
              <w:rPr>
                <w:rFonts w:ascii="Times New Roman CYR" w:hAnsi="Times New Roman CYR" w:cs="Times New Roman CYR"/>
              </w:rPr>
              <w:tab/>
            </w:r>
          </w:p>
          <w:p w:rsidR="00EA6A33" w:rsidRDefault="00EA6A33">
            <w:pPr>
              <w:widowControl w:val="0"/>
              <w:autoSpaceDE w:val="0"/>
              <w:autoSpaceDN w:val="0"/>
              <w:adjustRightInd w:val="0"/>
              <w:spacing w:after="0" w:line="240" w:lineRule="auto"/>
              <w:jc w:val="both"/>
              <w:rPr>
                <w:rFonts w:ascii="Times New Roman CYR" w:hAnsi="Times New Roman CYR" w:cs="Times New Roman CYR"/>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Меблi та пристрої - 4 роки;</w:t>
            </w:r>
          </w:p>
          <w:p w:rsidR="00EA6A33" w:rsidRDefault="00EA6A33">
            <w:pPr>
              <w:widowControl w:val="0"/>
              <w:autoSpaceDE w:val="0"/>
              <w:autoSpaceDN w:val="0"/>
              <w:adjustRightInd w:val="0"/>
              <w:spacing w:after="0" w:line="240" w:lineRule="auto"/>
              <w:jc w:val="both"/>
              <w:rPr>
                <w:rFonts w:ascii="Times New Roman CYR" w:hAnsi="Times New Roman CYR" w:cs="Times New Roman CYR"/>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Комп'ютери та офiсне обладнання - 2-5 рокiв;</w:t>
            </w:r>
          </w:p>
          <w:p w:rsidR="00EA6A33" w:rsidRDefault="00EA6A33">
            <w:pPr>
              <w:widowControl w:val="0"/>
              <w:autoSpaceDE w:val="0"/>
              <w:autoSpaceDN w:val="0"/>
              <w:adjustRightInd w:val="0"/>
              <w:spacing w:after="0" w:line="240" w:lineRule="auto"/>
              <w:jc w:val="both"/>
              <w:rPr>
                <w:rFonts w:ascii="Times New Roman CYR" w:hAnsi="Times New Roman CYR" w:cs="Times New Roman CYR"/>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Активи з права користування (будiвлi, транспорт) - протягом строку оренди;</w:t>
            </w:r>
          </w:p>
          <w:p w:rsidR="00EA6A33" w:rsidRDefault="00EA6A33">
            <w:pPr>
              <w:widowControl w:val="0"/>
              <w:autoSpaceDE w:val="0"/>
              <w:autoSpaceDN w:val="0"/>
              <w:adjustRightInd w:val="0"/>
              <w:spacing w:after="0" w:line="240" w:lineRule="auto"/>
              <w:jc w:val="both"/>
              <w:rPr>
                <w:rFonts w:ascii="Times New Roman CYR" w:hAnsi="Times New Roman CYR" w:cs="Times New Roman CYR"/>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Полiпшення орендованих основних засобiв - протягом меншого з двох строкiв: строку оренди або строку корисного використання.</w:t>
            </w:r>
          </w:p>
          <w:p w:rsidR="00EA6A33" w:rsidRDefault="00EA6A33">
            <w:pPr>
              <w:widowControl w:val="0"/>
              <w:autoSpaceDE w:val="0"/>
              <w:autoSpaceDN w:val="0"/>
              <w:adjustRightInd w:val="0"/>
              <w:spacing w:after="0" w:line="240" w:lineRule="auto"/>
              <w:jc w:val="both"/>
              <w:rPr>
                <w:rFonts w:ascii="Times New Roman CYR" w:hAnsi="Times New Roman CYR" w:cs="Times New Roman CYR"/>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Первiсна вартiсть основних засобiв станом на 30.06.2026 складає 241 474 тис. грн.,накопичена амортизацiя 194,068 тис. грн., амортизацiйнi витрати</w:t>
            </w:r>
          </w:p>
          <w:p w:rsidR="00EA6A33" w:rsidRDefault="00EA6A33">
            <w:pPr>
              <w:widowControl w:val="0"/>
              <w:autoSpaceDE w:val="0"/>
              <w:autoSpaceDN w:val="0"/>
              <w:adjustRightInd w:val="0"/>
              <w:spacing w:after="0" w:line="240" w:lineRule="auto"/>
              <w:jc w:val="both"/>
              <w:rPr>
                <w:rFonts w:ascii="Times New Roman CYR" w:hAnsi="Times New Roman CYR" w:cs="Times New Roman CYR"/>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за II квартал 2026 рiк - 19,022 тис.грн. </w:t>
            </w:r>
          </w:p>
          <w:p w:rsidR="00EA6A33" w:rsidRDefault="00EA6A33">
            <w:pPr>
              <w:widowControl w:val="0"/>
              <w:autoSpaceDE w:val="0"/>
              <w:autoSpaceDN w:val="0"/>
              <w:adjustRightInd w:val="0"/>
              <w:spacing w:after="0" w:line="240" w:lineRule="auto"/>
              <w:jc w:val="both"/>
              <w:rPr>
                <w:rFonts w:ascii="Times New Roman CYR" w:hAnsi="Times New Roman CYR" w:cs="Times New Roman CYR"/>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Ступiнь їх використання - 80%.</w:t>
            </w:r>
          </w:p>
          <w:p w:rsidR="00EA6A33" w:rsidRDefault="00EA6A33">
            <w:pPr>
              <w:widowControl w:val="0"/>
              <w:autoSpaceDE w:val="0"/>
              <w:autoSpaceDN w:val="0"/>
              <w:adjustRightInd w:val="0"/>
              <w:spacing w:after="0" w:line="240" w:lineRule="auto"/>
              <w:jc w:val="both"/>
              <w:rPr>
                <w:rFonts w:ascii="Times New Roman CYR" w:hAnsi="Times New Roman CYR" w:cs="Times New Roman CYR"/>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Станом на 30 червня 2026 року обмеження щодо використання майна вiдсутнi.</w:t>
            </w:r>
          </w:p>
          <w:p w:rsidR="00EA6A33" w:rsidRDefault="00EA6A33">
            <w:pPr>
              <w:widowControl w:val="0"/>
              <w:autoSpaceDE w:val="0"/>
              <w:autoSpaceDN w:val="0"/>
              <w:adjustRightInd w:val="0"/>
              <w:spacing w:after="0" w:line="240" w:lineRule="auto"/>
              <w:jc w:val="both"/>
              <w:rPr>
                <w:rFonts w:ascii="Times New Roman CYR" w:hAnsi="Times New Roman CYR" w:cs="Times New Roman CYR"/>
              </w:rPr>
            </w:pPr>
          </w:p>
          <w:p w:rsidR="00EA6A33" w:rsidRDefault="00EA6A33">
            <w:pPr>
              <w:widowControl w:val="0"/>
              <w:autoSpaceDE w:val="0"/>
              <w:autoSpaceDN w:val="0"/>
              <w:adjustRightInd w:val="0"/>
              <w:spacing w:after="0" w:line="240" w:lineRule="auto"/>
              <w:jc w:val="both"/>
              <w:rPr>
                <w:rFonts w:ascii="Times New Roman CYR" w:hAnsi="Times New Roman CYR" w:cs="Times New Roman CYR"/>
              </w:rPr>
            </w:pPr>
          </w:p>
        </w:tc>
      </w:tr>
    </w:tbl>
    <w:p w:rsidR="00EA6A33" w:rsidRDefault="00EA6A33">
      <w:pPr>
        <w:widowControl w:val="0"/>
        <w:autoSpaceDE w:val="0"/>
        <w:autoSpaceDN w:val="0"/>
        <w:adjustRightInd w:val="0"/>
        <w:spacing w:after="0" w:line="240" w:lineRule="auto"/>
        <w:rPr>
          <w:rFonts w:ascii="Times New Roman CYR" w:hAnsi="Times New Roman CYR" w:cs="Times New Roman CYR"/>
        </w:rPr>
      </w:pPr>
    </w:p>
    <w:p w:rsidR="00EA6A33" w:rsidRDefault="00433844">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зобов'язання та забезпечення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780"/>
        <w:gridCol w:w="1440"/>
        <w:gridCol w:w="1480"/>
        <w:gridCol w:w="1940"/>
        <w:gridCol w:w="1328"/>
      </w:tblGrid>
      <w:tr w:rsidR="00EA6A33">
        <w:trPr>
          <w:trHeight w:val="2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погашення</w:t>
            </w:r>
          </w:p>
        </w:tc>
      </w:tr>
      <w:tr w:rsidR="00EA6A33">
        <w:trPr>
          <w:trHeight w:val="2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EA6A33">
        <w:trPr>
          <w:trHeight w:val="2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3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EA6A33">
        <w:trPr>
          <w:trHeight w:val="3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EA6A33" w:rsidRDefault="00EA6A33">
            <w:pPr>
              <w:widowControl w:val="0"/>
              <w:autoSpaceDE w:val="0"/>
              <w:autoSpaceDN w:val="0"/>
              <w:adjustRightInd w:val="0"/>
              <w:spacing w:after="0" w:line="240" w:lineRule="auto"/>
              <w:rPr>
                <w:rFonts w:ascii="Times New Roman CYR" w:hAnsi="Times New Roman CYR" w:cs="Times New Roman CYR"/>
              </w:rPr>
            </w:pPr>
          </w:p>
        </w:tc>
      </w:tr>
      <w:tr w:rsidR="00EA6A33">
        <w:trPr>
          <w:trHeight w:val="3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EA6A33">
        <w:trPr>
          <w:trHeight w:val="3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EA6A33">
        <w:trPr>
          <w:trHeight w:val="3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EA6A33">
        <w:trPr>
          <w:trHeight w:val="3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EA6A33">
        <w:trPr>
          <w:trHeight w:val="3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іншими цінними паперами (у тому числі за деривативами)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EA6A33">
        <w:trPr>
          <w:trHeight w:val="3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EA6A33">
        <w:trPr>
          <w:trHeight w:val="3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164 317</w:t>
            </w:r>
          </w:p>
        </w:tc>
        <w:tc>
          <w:tcPr>
            <w:tcW w:w="19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EA6A33">
        <w:trPr>
          <w:trHeight w:val="300"/>
        </w:trPr>
        <w:tc>
          <w:tcPr>
            <w:tcW w:w="378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Поточнi податковi зобов'язання</w:t>
            </w:r>
          </w:p>
        </w:tc>
        <w:tc>
          <w:tcPr>
            <w:tcW w:w="1440" w:type="dxa"/>
            <w:tcBorders>
              <w:top w:val="single" w:sz="6" w:space="0" w:color="auto"/>
              <w:left w:val="single" w:sz="6" w:space="0" w:color="auto"/>
              <w:bottom w:val="single" w:sz="6" w:space="0" w:color="auto"/>
              <w:right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164 317</w:t>
            </w:r>
          </w:p>
        </w:tc>
        <w:tc>
          <w:tcPr>
            <w:tcW w:w="194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3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EA6A33">
        <w:trPr>
          <w:trHeight w:val="3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24 336 793</w:t>
            </w:r>
          </w:p>
        </w:tc>
        <w:tc>
          <w:tcPr>
            <w:tcW w:w="19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EA6A33">
        <w:trPr>
          <w:trHeight w:val="300"/>
        </w:trPr>
        <w:tc>
          <w:tcPr>
            <w:tcW w:w="378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кошти банкiв</w:t>
            </w:r>
          </w:p>
        </w:tc>
        <w:tc>
          <w:tcPr>
            <w:tcW w:w="1440" w:type="dxa"/>
            <w:tcBorders>
              <w:top w:val="single" w:sz="6" w:space="0" w:color="auto"/>
              <w:left w:val="single" w:sz="6" w:space="0" w:color="auto"/>
              <w:bottom w:val="single" w:sz="6" w:space="0" w:color="auto"/>
              <w:right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w:t>
            </w:r>
          </w:p>
        </w:tc>
        <w:tc>
          <w:tcPr>
            <w:tcW w:w="194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300"/>
        </w:trPr>
        <w:tc>
          <w:tcPr>
            <w:tcW w:w="378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кошти клiєнтiв</w:t>
            </w:r>
          </w:p>
        </w:tc>
        <w:tc>
          <w:tcPr>
            <w:tcW w:w="1440" w:type="dxa"/>
            <w:tcBorders>
              <w:top w:val="single" w:sz="6" w:space="0" w:color="auto"/>
              <w:left w:val="single" w:sz="6" w:space="0" w:color="auto"/>
              <w:bottom w:val="single" w:sz="6" w:space="0" w:color="auto"/>
              <w:right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24 163 830</w:t>
            </w:r>
          </w:p>
        </w:tc>
        <w:tc>
          <w:tcPr>
            <w:tcW w:w="194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300"/>
        </w:trPr>
        <w:tc>
          <w:tcPr>
            <w:tcW w:w="378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похiднi фiнансовi зобов'язання</w:t>
            </w:r>
          </w:p>
        </w:tc>
        <w:tc>
          <w:tcPr>
            <w:tcW w:w="1440" w:type="dxa"/>
            <w:tcBorders>
              <w:top w:val="single" w:sz="6" w:space="0" w:color="auto"/>
              <w:left w:val="single" w:sz="6" w:space="0" w:color="auto"/>
              <w:bottom w:val="single" w:sz="6" w:space="0" w:color="auto"/>
              <w:right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9 536</w:t>
            </w:r>
          </w:p>
        </w:tc>
        <w:tc>
          <w:tcPr>
            <w:tcW w:w="194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300"/>
        </w:trPr>
        <w:tc>
          <w:tcPr>
            <w:tcW w:w="378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Резерви за кредитними зобов'язаннями та контрактами фiнансової гарантiї</w:t>
            </w:r>
          </w:p>
        </w:tc>
        <w:tc>
          <w:tcPr>
            <w:tcW w:w="1440" w:type="dxa"/>
            <w:tcBorders>
              <w:top w:val="single" w:sz="6" w:space="0" w:color="auto"/>
              <w:left w:val="single" w:sz="6" w:space="0" w:color="auto"/>
              <w:bottom w:val="single" w:sz="6" w:space="0" w:color="auto"/>
              <w:right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117</w:t>
            </w:r>
          </w:p>
        </w:tc>
        <w:tc>
          <w:tcPr>
            <w:tcW w:w="194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300"/>
        </w:trPr>
        <w:tc>
          <w:tcPr>
            <w:tcW w:w="378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Iншi фiнансовi зобов'язання</w:t>
            </w:r>
          </w:p>
        </w:tc>
        <w:tc>
          <w:tcPr>
            <w:tcW w:w="1440" w:type="dxa"/>
            <w:tcBorders>
              <w:top w:val="single" w:sz="6" w:space="0" w:color="auto"/>
              <w:left w:val="single" w:sz="6" w:space="0" w:color="auto"/>
              <w:bottom w:val="single" w:sz="6" w:space="0" w:color="auto"/>
              <w:right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122 791</w:t>
            </w:r>
          </w:p>
        </w:tc>
        <w:tc>
          <w:tcPr>
            <w:tcW w:w="194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300"/>
        </w:trPr>
        <w:tc>
          <w:tcPr>
            <w:tcW w:w="378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Iншi нефiнансовi зобов'язання</w:t>
            </w:r>
          </w:p>
        </w:tc>
        <w:tc>
          <w:tcPr>
            <w:tcW w:w="1440" w:type="dxa"/>
            <w:tcBorders>
              <w:top w:val="single" w:sz="6" w:space="0" w:color="auto"/>
              <w:left w:val="single" w:sz="6" w:space="0" w:color="auto"/>
              <w:bottom w:val="single" w:sz="6" w:space="0" w:color="auto"/>
              <w:right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40 475</w:t>
            </w:r>
          </w:p>
        </w:tc>
        <w:tc>
          <w:tcPr>
            <w:tcW w:w="194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300"/>
        </w:trPr>
        <w:tc>
          <w:tcPr>
            <w:tcW w:w="378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24 501 110</w:t>
            </w:r>
          </w:p>
        </w:tc>
        <w:tc>
          <w:tcPr>
            <w:tcW w:w="194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bl>
    <w:p w:rsidR="00EA6A33" w:rsidRDefault="00EA6A33">
      <w:pPr>
        <w:widowControl w:val="0"/>
        <w:autoSpaceDE w:val="0"/>
        <w:autoSpaceDN w:val="0"/>
        <w:adjustRightInd w:val="0"/>
        <w:spacing w:after="0" w:line="240" w:lineRule="auto"/>
        <w:rPr>
          <w:rFonts w:ascii="Times New Roman CYR" w:hAnsi="Times New Roman CYR" w:cs="Times New Roman CYR"/>
        </w:rPr>
      </w:pPr>
    </w:p>
    <w:p w:rsidR="00EA6A33" w:rsidRDefault="00433844">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осіб, послугами яких користується особа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 особи</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Публiчне акцiонерне товариство "Нацiональнийдепозитарiй України"</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Акціонерне товариство</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30370711</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04107, Україна, м. Київ, вул. Якубенкiвська, 7-г</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телефону</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363-04-00</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63.11 - Оброблення даних, розмiщення iнформацiї на веб-вузлах i пов'язана з ними дiяльнiсть</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18.20 - Тиражування звуко-, вiдеозаписiв i програмного забезпечення</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Працює без лiцензiї. Обслуговує випуск цiнних паперiв Товариства</w:t>
            </w:r>
          </w:p>
        </w:tc>
      </w:tr>
    </w:tbl>
    <w:p w:rsidR="00EA6A33" w:rsidRDefault="00EA6A33">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 особи</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установа "Агентство з розвитку iнфраструктури фондового ринку України"</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організація (установа, заклад)</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21676262</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03150, Україна, м. Київ, вул. Антоновича, 51, офiс 1206</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телефону</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287-56-70</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63.11 - Оброблення даних, розмiщення iнформацiї на веб-вузлах i пов'язана з ними дiяльнiсть</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84.13 - Регулювання та сприяння ефективному веденню економiчної дiяльностi</w:t>
            </w:r>
          </w:p>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62.02 - Консультування з питань iнформатизацiї</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Працює без лiцензiї. Iнформацiйнi послуги на фондовому ринку з оприлюднення регульованої iнформацiї; Iнформацiйнi послуги з подання звiтностi та/або звiтних даних до НКЦПФР</w:t>
            </w:r>
          </w:p>
        </w:tc>
      </w:tr>
    </w:tbl>
    <w:p w:rsidR="00EA6A33" w:rsidRDefault="00EA6A33">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 особи</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Приватне акцiонерне товариство "КПМГ Аудит</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EA6A33" w:rsidRDefault="00EA6A33">
            <w:pPr>
              <w:widowControl w:val="0"/>
              <w:autoSpaceDE w:val="0"/>
              <w:autoSpaceDN w:val="0"/>
              <w:adjustRightInd w:val="0"/>
              <w:spacing w:after="0" w:line="240" w:lineRule="auto"/>
              <w:jc w:val="center"/>
              <w:rPr>
                <w:rFonts w:ascii="Times New Roman CYR" w:hAnsi="Times New Roman CYR" w:cs="Times New Roman CYR"/>
              </w:rPr>
            </w:pP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Акціонерне товариство</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31032100</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01010, Україна, м. Київ, вул. Острозьких Князiв, 32/2</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2397</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Аудиторська палата України</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27.10.2021</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телефону</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490 55 07</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69.20 - Дiяльнiсть у сферi бухгалтерського облiку й аудиту</w:t>
            </w:r>
          </w:p>
        </w:tc>
      </w:tr>
      <w:tr w:rsidR="00EA6A33">
        <w:trPr>
          <w:trHeight w:val="200"/>
        </w:trPr>
        <w:tc>
          <w:tcPr>
            <w:tcW w:w="60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Послуги з проведення обов'язкового аудиту фiнансової звiтностi</w:t>
            </w:r>
          </w:p>
        </w:tc>
      </w:tr>
    </w:tbl>
    <w:p w:rsidR="00EA6A33" w:rsidRDefault="00EA6A33">
      <w:pPr>
        <w:widowControl w:val="0"/>
        <w:autoSpaceDE w:val="0"/>
        <w:autoSpaceDN w:val="0"/>
        <w:adjustRightInd w:val="0"/>
        <w:spacing w:after="0" w:line="240" w:lineRule="auto"/>
        <w:rPr>
          <w:rFonts w:ascii="Times New Roman CYR" w:hAnsi="Times New Roman CYR" w:cs="Times New Roman CYR"/>
        </w:rPr>
      </w:pPr>
    </w:p>
    <w:p w:rsidR="00EA6A33" w:rsidRDefault="00EA6A33">
      <w:pPr>
        <w:widowControl w:val="0"/>
        <w:autoSpaceDE w:val="0"/>
        <w:autoSpaceDN w:val="0"/>
        <w:adjustRightInd w:val="0"/>
        <w:spacing w:after="0" w:line="240" w:lineRule="auto"/>
        <w:rPr>
          <w:rFonts w:ascii="Times New Roman CYR" w:hAnsi="Times New Roman CYR" w:cs="Times New Roman CYR"/>
        </w:rPr>
      </w:pPr>
    </w:p>
    <w:p w:rsidR="00EA6A33" w:rsidRDefault="00EA6A33">
      <w:pPr>
        <w:widowControl w:val="0"/>
        <w:autoSpaceDE w:val="0"/>
        <w:autoSpaceDN w:val="0"/>
        <w:adjustRightInd w:val="0"/>
        <w:spacing w:after="0" w:line="240" w:lineRule="auto"/>
        <w:rPr>
          <w:rFonts w:ascii="Times New Roman CYR" w:hAnsi="Times New Roman CYR" w:cs="Times New Roman CYR"/>
        </w:rPr>
        <w:sectPr w:rsidR="00EA6A33">
          <w:pgSz w:w="12240" w:h="15840"/>
          <w:pgMar w:top="570" w:right="720" w:bottom="570" w:left="720" w:header="708" w:footer="708" w:gutter="0"/>
          <w:cols w:space="720"/>
          <w:noEndnote/>
        </w:sectPr>
      </w:pP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II. Інформація щодо капіталу та цінних паперів</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Цінні папери</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випуски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50"/>
        <w:gridCol w:w="1350"/>
        <w:gridCol w:w="2400"/>
        <w:gridCol w:w="1700"/>
        <w:gridCol w:w="1600"/>
        <w:gridCol w:w="1350"/>
        <w:gridCol w:w="1450"/>
        <w:gridCol w:w="1200"/>
        <w:gridCol w:w="1400"/>
        <w:gridCol w:w="1700"/>
      </w:tblGrid>
      <w:tr w:rsidR="00EA6A33">
        <w:trPr>
          <w:trHeight w:val="200"/>
        </w:trPr>
        <w:tc>
          <w:tcPr>
            <w:tcW w:w="12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16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цінного папера</w:t>
            </w:r>
          </w:p>
        </w:tc>
        <w:tc>
          <w:tcPr>
            <w:tcW w:w="13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7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Частка у статутному капіталі (у відсотках)</w:t>
            </w:r>
          </w:p>
        </w:tc>
      </w:tr>
      <w:tr w:rsidR="00EA6A33">
        <w:trPr>
          <w:trHeight w:val="200"/>
        </w:trPr>
        <w:tc>
          <w:tcPr>
            <w:tcW w:w="12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6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3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7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EA6A33">
        <w:trPr>
          <w:trHeight w:val="200"/>
        </w:trPr>
        <w:tc>
          <w:tcPr>
            <w:tcW w:w="125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07.10.2010</w:t>
            </w:r>
          </w:p>
        </w:tc>
        <w:tc>
          <w:tcPr>
            <w:tcW w:w="135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850/1/10</w:t>
            </w:r>
          </w:p>
        </w:tc>
        <w:tc>
          <w:tcPr>
            <w:tcW w:w="24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комiсiя з цiнних паперiв та фондового ринку</w:t>
            </w:r>
          </w:p>
        </w:tc>
        <w:tc>
          <w:tcPr>
            <w:tcW w:w="17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UA4000100135</w:t>
            </w:r>
          </w:p>
        </w:tc>
        <w:tc>
          <w:tcPr>
            <w:tcW w:w="16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Акція проста бездокументарна іменна</w:t>
            </w:r>
          </w:p>
        </w:tc>
        <w:tc>
          <w:tcPr>
            <w:tcW w:w="135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0,01</w:t>
            </w:r>
          </w:p>
        </w:tc>
        <w:tc>
          <w:tcPr>
            <w:tcW w:w="12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73 129 804 500</w:t>
            </w:r>
          </w:p>
        </w:tc>
        <w:tc>
          <w:tcPr>
            <w:tcW w:w="14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731 298 045</w:t>
            </w:r>
          </w:p>
        </w:tc>
        <w:tc>
          <w:tcPr>
            <w:tcW w:w="17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r w:rsidR="00EA6A33">
        <w:trPr>
          <w:trHeight w:val="200"/>
        </w:trPr>
        <w:tc>
          <w:tcPr>
            <w:tcW w:w="2600" w:type="dxa"/>
            <w:gridSpan w:val="2"/>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2800" w:type="dxa"/>
            <w:gridSpan w:val="8"/>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На внутрiшнiх та зовнiшнiх ринках торгiвля цiнними паперами Товариства не проводилась. Протягом звiтного перiоду фактiв допуску/скасування допуску цiнних паперiв до торгiв на регульованому фондовому ринку не було.</w:t>
            </w:r>
          </w:p>
        </w:tc>
      </w:tr>
    </w:tbl>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Уточнення щодо наявності обмежень за акціями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850"/>
        <w:gridCol w:w="3850"/>
        <w:gridCol w:w="3850"/>
        <w:gridCol w:w="3850"/>
      </w:tblGrid>
      <w:tr w:rsidR="00EA6A33">
        <w:trPr>
          <w:trHeight w:val="200"/>
        </w:trPr>
        <w:tc>
          <w:tcPr>
            <w:tcW w:w="38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38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(з них голосуючих), шт.</w:t>
            </w:r>
          </w:p>
        </w:tc>
        <w:tc>
          <w:tcPr>
            <w:tcW w:w="38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викуплених акцій (кількість акцій прирівняних до викуплених), шт.</w:t>
            </w:r>
          </w:p>
        </w:tc>
        <w:tc>
          <w:tcPr>
            <w:tcW w:w="385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інших не голосуючих акцій, шт.</w:t>
            </w:r>
          </w:p>
        </w:tc>
      </w:tr>
      <w:tr w:rsidR="00EA6A33">
        <w:trPr>
          <w:trHeight w:val="200"/>
        </w:trPr>
        <w:tc>
          <w:tcPr>
            <w:tcW w:w="385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38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385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385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EA6A33">
        <w:trPr>
          <w:trHeight w:val="200"/>
        </w:trPr>
        <w:tc>
          <w:tcPr>
            <w:tcW w:w="385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UA4000100135</w:t>
            </w:r>
          </w:p>
        </w:tc>
        <w:tc>
          <w:tcPr>
            <w:tcW w:w="385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73129804500</w:t>
            </w:r>
          </w:p>
        </w:tc>
        <w:tc>
          <w:tcPr>
            <w:tcW w:w="385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385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EA6A33" w:rsidRDefault="00EA6A33">
      <w:pPr>
        <w:widowControl w:val="0"/>
        <w:autoSpaceDE w:val="0"/>
        <w:autoSpaceDN w:val="0"/>
        <w:adjustRightInd w:val="0"/>
        <w:spacing w:after="0" w:line="240" w:lineRule="auto"/>
        <w:rPr>
          <w:rFonts w:ascii="Times New Roman CYR" w:hAnsi="Times New Roman CYR" w:cs="Times New Roman CYR"/>
        </w:rPr>
      </w:pP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00"/>
        <w:gridCol w:w="2000"/>
        <w:gridCol w:w="2000"/>
        <w:gridCol w:w="2000"/>
        <w:gridCol w:w="2100"/>
        <w:gridCol w:w="1500"/>
        <w:gridCol w:w="1500"/>
        <w:gridCol w:w="2800"/>
      </w:tblGrid>
      <w:tr w:rsidR="00EA6A33">
        <w:trPr>
          <w:trHeight w:val="300"/>
        </w:trPr>
        <w:tc>
          <w:tcPr>
            <w:tcW w:w="1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у 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голосуючих акцій, права голосу за якими обмежено, шт.</w:t>
            </w:r>
          </w:p>
        </w:tc>
        <w:tc>
          <w:tcPr>
            <w:tcW w:w="28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голосуючих акцій, права голосу за якими за результатами обмеження таких прав передано іншій особі, шт.</w:t>
            </w:r>
          </w:p>
        </w:tc>
      </w:tr>
      <w:tr w:rsidR="00EA6A33">
        <w:trPr>
          <w:trHeight w:val="300"/>
        </w:trPr>
        <w:tc>
          <w:tcPr>
            <w:tcW w:w="1500" w:type="dxa"/>
            <w:tcBorders>
              <w:top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1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500" w:type="dxa"/>
            <w:tcBorders>
              <w:top w:val="single" w:sz="6" w:space="0" w:color="auto"/>
              <w:left w:val="single" w:sz="6" w:space="0" w:color="auto"/>
              <w:bottom w:val="single" w:sz="6" w:space="0" w:color="auto"/>
              <w:right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2800" w:type="dxa"/>
            <w:tcBorders>
              <w:top w:val="single" w:sz="6" w:space="0" w:color="auto"/>
              <w:left w:val="single" w:sz="6" w:space="0" w:color="auto"/>
              <w:bottom w:val="single" w:sz="6" w:space="0" w:color="auto"/>
            </w:tcBorders>
            <w:vAlign w:val="center"/>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EA6A33">
        <w:trPr>
          <w:trHeight w:val="300"/>
        </w:trPr>
        <w:tc>
          <w:tcPr>
            <w:tcW w:w="15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07.10.2010</w:t>
            </w:r>
          </w:p>
        </w:tc>
        <w:tc>
          <w:tcPr>
            <w:tcW w:w="20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850/1/10</w:t>
            </w:r>
          </w:p>
        </w:tc>
        <w:tc>
          <w:tcPr>
            <w:tcW w:w="20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UA4000100135</w:t>
            </w:r>
          </w:p>
        </w:tc>
        <w:tc>
          <w:tcPr>
            <w:tcW w:w="20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73 129 804 500</w:t>
            </w:r>
          </w:p>
        </w:tc>
        <w:tc>
          <w:tcPr>
            <w:tcW w:w="21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731 298 045</w:t>
            </w:r>
          </w:p>
        </w:tc>
        <w:tc>
          <w:tcPr>
            <w:tcW w:w="15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73 129 804 500</w:t>
            </w:r>
          </w:p>
        </w:tc>
        <w:tc>
          <w:tcPr>
            <w:tcW w:w="1500" w:type="dxa"/>
            <w:tcBorders>
              <w:top w:val="single" w:sz="6" w:space="0" w:color="auto"/>
              <w:left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800" w:type="dxa"/>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EA6A33">
        <w:trPr>
          <w:trHeight w:val="300"/>
        </w:trPr>
        <w:tc>
          <w:tcPr>
            <w:tcW w:w="1500" w:type="dxa"/>
            <w:tcBorders>
              <w:top w:val="single" w:sz="6" w:space="0" w:color="auto"/>
              <w:bottom w:val="single" w:sz="6" w:space="0" w:color="auto"/>
              <w:right w:val="single" w:sz="6" w:space="0" w:color="auto"/>
            </w:tcBorders>
          </w:tcPr>
          <w:p w:rsidR="00EA6A33" w:rsidRDefault="00433844">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3900" w:type="dxa"/>
            <w:gridSpan w:val="7"/>
            <w:tcBorders>
              <w:top w:val="single" w:sz="6" w:space="0" w:color="auto"/>
              <w:left w:val="single" w:sz="6" w:space="0" w:color="auto"/>
              <w:bottom w:val="single" w:sz="6" w:space="0" w:color="auto"/>
            </w:tcBorders>
          </w:tcPr>
          <w:p w:rsidR="00EA6A33" w:rsidRDefault="00433844">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Cтрок обмеження: -</w:t>
            </w:r>
          </w:p>
          <w:p w:rsidR="00EA6A33" w:rsidRDefault="00433844">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Характеристика обмеження: Обмеження вiдсутнi</w:t>
            </w:r>
          </w:p>
        </w:tc>
      </w:tr>
    </w:tbl>
    <w:p w:rsidR="00EA6A33" w:rsidRDefault="00EA6A33">
      <w:pPr>
        <w:widowControl w:val="0"/>
        <w:autoSpaceDE w:val="0"/>
        <w:autoSpaceDN w:val="0"/>
        <w:adjustRightInd w:val="0"/>
        <w:spacing w:after="0" w:line="240" w:lineRule="auto"/>
        <w:rPr>
          <w:rFonts w:ascii="Times New Roman CYR" w:hAnsi="Times New Roman CYR" w:cs="Times New Roman CYR"/>
        </w:rPr>
      </w:pPr>
    </w:p>
    <w:p w:rsidR="00EA6A33" w:rsidRDefault="00EA6A33">
      <w:pPr>
        <w:widowControl w:val="0"/>
        <w:autoSpaceDE w:val="0"/>
        <w:autoSpaceDN w:val="0"/>
        <w:adjustRightInd w:val="0"/>
        <w:spacing w:after="0" w:line="240" w:lineRule="auto"/>
        <w:rPr>
          <w:rFonts w:ascii="Times New Roman CYR" w:hAnsi="Times New Roman CYR" w:cs="Times New Roman CYR"/>
        </w:rPr>
        <w:sectPr w:rsidR="00EA6A33">
          <w:pgSz w:w="16837" w:h="11905" w:orient="landscape"/>
          <w:pgMar w:top="570" w:right="720" w:bottom="570" w:left="720" w:header="708" w:footer="708" w:gutter="0"/>
          <w:cols w:space="720"/>
          <w:noEndnote/>
        </w:sectPr>
      </w:pPr>
    </w:p>
    <w:p w:rsidR="00EA6A33" w:rsidRDefault="00433844">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III. Фінансова інформація</w:t>
      </w:r>
    </w:p>
    <w:p w:rsidR="00EA6A33" w:rsidRDefault="00433844">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1. Проміжна фінансова звітність</w:t>
      </w: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https://www.ingwb.com/ua/service/vidpovidnist/konfidentsiynist-ta-privatnist/ukrayina/finansova-zvitnist</w:t>
      </w: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URL-адреса вебсторінки Центру збору фінансової звітності, за якою розміщено електронний файл фінансової звітності: https://portal.frs.gov.ua/PublicData/PublicDataSubmissionPack.aspx?submission_pack_version_id=231826</w:t>
      </w:r>
    </w:p>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3. Твердження щодо проміжної інформації</w:t>
      </w: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Керiвник емiтента повiдомляє про те, що наскiльки йому вiдомо промiжна фiнансова звiтнiсть пiдготовлена вiдповiдно до мiжнародних стандартаiв фiнансової звiтностi (МСФЗ), що вимагаються згiдно iз Законом України "Про бухгалтерський облiк та фiнансову звiтнiсть в Українi", мiстить достовiрне та об'єктивне подання iнформацiї про стан активiв, пасивiв, фiнансовий стан, прибутки та збитки емiтента.</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Звiт керiвництва включає достовiрне та об'єктивне подання iнформацiї про розвиток i здiйснення господарської дiяльностi та стан емiтента разом з описом основних ризикiв та невизначеностей, з якими емiтент стикається у своїй господарськiй дiяльностi. </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Юридичних осiб, якi перебувають пiд контролем емiтента немає, консолiдована фiнансова звiтнiсть не складається.</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IV. Нефінансова інформація</w:t>
      </w:r>
    </w:p>
    <w:p w:rsidR="00EA6A33" w:rsidRDefault="00433844">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Проміжний звіт керівництва</w:t>
      </w: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Звернення до акціонерів/учасників та інших стейкхолдерів від голови ради особи</w:t>
      </w: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Шановнi панi та панове,</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Попри безпрецедентнi виклики, ми бачимо силу, стiйкiсть та волю країни до вiдновлення й розвитку. Наглядова рада високо оцiнює роль нашого банку у забезпеченнi фiнансової стабiльностi та пiдтримцi клiєнтiв у цей непростий час.</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Я хочу висловити щиру повагу всьому колективу банку. Нашi працiвники щодня демонструють професiоналiзм, вiдданiсть та здатнiсть ефективно працювати в умовах невизначеностi. Саме їхня наполеглива праця дозволила банку не лише виконати поставленi завдання, а й досягти вагомих результатiв, зберiгаючи високу якiсть сервiсу та безперервнiсть операцiй.</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Ми з упевненiстю дивимося в майбутнє. Переконанi, що банк i надалi залишатиметься надiйним партнером для клiєнтiв та вiдповiдальним гравцем на фiнансовому ринку України. Наша стратегiя розвитку, сильна команда та зважене управлiння ризиками забезпечуватимуть стабiльнiсть, ефективнiсть i прибутковiсть дiяльностi.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Разом ми продовжимо пiдтримувати економiку України, сприяти її вiдновленню та створювати цiннiсть для наших акцiонерiв, клiєнтiв i суспiльства.</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Звернення до акціонерів/учасників та інших стейкхолдерів від керівника особи</w:t>
      </w: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ING працює в Українi вже майже 30 рокiв, надаючи послуги корпоративного банкiнгу великим компанiям та фiнансовим установам. АТ "IНГ Банк Україна" пропонує глибоку експертизу та iндивiдуальнi рiшення. Нашi локальнi фахiвцi та галузевi експерти гарантують клiєнтам стабiльну, високоякiсну пiдтримку в усiх питаннях корпоративного банкiнгу.</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ING ми залишаємося вiдданими Українi та нашим клiєнтам, навiть перед обличчям тривалих викликiв. Наша дiяльнiсть продовжується без перерв завдяки надiйнiй iнфраструктурi, ефективному плануванню безперервностi бiзнесу та вiдданiй командi.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Ми пишаємося тим, що пiдтримуємо аграрний сектор України та провiднi українськi корпорацiї - ключовi стовпи нацiональної економiки - а також є надiйним партнером для мiжнародних клiєнтiв. Разом ми змiцнюємо стiйкiсть, сприяємо зростанню та формуємо сталий майбутнiй розвиток України.</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Олена Михальченко</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Вказівки на важливі події, що відбулися упродовж звітного періоду, та їх вплив на проміжну фінансову звітність, а також опис основних ризиків та невизначеностей у діяльності особи</w:t>
      </w:r>
    </w:p>
    <w:p w:rsidR="00EA6A33" w:rsidRDefault="0043384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 другому кварталi 2026 року не вдбулось iнших важливих подiй, якi мали б суттєвий вплив на промiжну фiнансову звiтнiсть, окрiм тих, що розкритi у фiнансовiй звiтностi</w:t>
      </w:r>
    </w:p>
    <w:p w:rsidR="00EA6A33" w:rsidRDefault="00EA6A33">
      <w:pPr>
        <w:widowControl w:val="0"/>
        <w:autoSpaceDE w:val="0"/>
        <w:autoSpaceDN w:val="0"/>
        <w:adjustRightInd w:val="0"/>
        <w:spacing w:after="0" w:line="240" w:lineRule="auto"/>
        <w:jc w:val="both"/>
        <w:rPr>
          <w:rFonts w:ascii="Times New Roman CYR" w:hAnsi="Times New Roman CYR" w:cs="Times New Roman CYR"/>
          <w:sz w:val="24"/>
          <w:szCs w:val="24"/>
        </w:rPr>
      </w:pPr>
    </w:p>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pPr>
    </w:p>
    <w:p w:rsidR="00EA6A33" w:rsidRDefault="00EA6A33">
      <w:pPr>
        <w:widowControl w:val="0"/>
        <w:autoSpaceDE w:val="0"/>
        <w:autoSpaceDN w:val="0"/>
        <w:adjustRightInd w:val="0"/>
        <w:spacing w:after="0" w:line="240" w:lineRule="auto"/>
        <w:rPr>
          <w:rFonts w:ascii="Times New Roman CYR" w:hAnsi="Times New Roman CYR" w:cs="Times New Roman CYR"/>
          <w:sz w:val="24"/>
          <w:szCs w:val="24"/>
        </w:rPr>
      </w:pPr>
    </w:p>
    <w:p w:rsidR="00433844" w:rsidRDefault="00433844">
      <w:pPr>
        <w:widowControl w:val="0"/>
        <w:autoSpaceDE w:val="0"/>
        <w:autoSpaceDN w:val="0"/>
        <w:adjustRightInd w:val="0"/>
        <w:spacing w:after="0" w:line="240" w:lineRule="auto"/>
        <w:rPr>
          <w:rFonts w:ascii="Times New Roman CYR" w:hAnsi="Times New Roman CYR" w:cs="Times New Roman CYR"/>
          <w:sz w:val="24"/>
          <w:szCs w:val="24"/>
        </w:rPr>
      </w:pPr>
    </w:p>
    <w:sectPr w:rsidR="00433844" w:rsidSect="00EA6A33">
      <w:pgSz w:w="12240" w:h="15840"/>
      <w:pgMar w:top="570" w:right="720" w:bottom="570" w:left="720" w:header="708" w:footer="708"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C15" w:rsidRDefault="00B35C15" w:rsidP="00DF73CC">
      <w:pPr>
        <w:spacing w:after="0" w:line="240" w:lineRule="auto"/>
      </w:pPr>
      <w:r>
        <w:separator/>
      </w:r>
    </w:p>
  </w:endnote>
  <w:endnote w:type="continuationSeparator" w:id="0">
    <w:p w:rsidR="00B35C15" w:rsidRDefault="00B35C15" w:rsidP="00DF73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C15" w:rsidRDefault="00B35C15" w:rsidP="00DF73CC">
      <w:pPr>
        <w:spacing w:after="0" w:line="240" w:lineRule="auto"/>
      </w:pPr>
      <w:r>
        <w:separator/>
      </w:r>
    </w:p>
  </w:footnote>
  <w:footnote w:type="continuationSeparator" w:id="0">
    <w:p w:rsidR="00B35C15" w:rsidRDefault="00B35C15" w:rsidP="00DF73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7969954"/>
      <w:docPartObj>
        <w:docPartGallery w:val="Page Numbers (Top of Page)"/>
        <w:docPartUnique/>
      </w:docPartObj>
    </w:sdtPr>
    <w:sdtContent>
      <w:p w:rsidR="00EF69DC" w:rsidRDefault="00EF69DC">
        <w:pPr>
          <w:pStyle w:val="a3"/>
          <w:jc w:val="center"/>
        </w:pPr>
        <w:fldSimple w:instr=" PAGE   \* MERGEFORMAT ">
          <w:r w:rsidR="00B35C15">
            <w:rPr>
              <w:noProof/>
            </w:rPr>
            <w:t>1</w:t>
          </w:r>
        </w:fldSimple>
      </w:p>
    </w:sdtContent>
  </w:sdt>
  <w:p w:rsidR="00DF73CC" w:rsidRDefault="00DF73C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F73CC"/>
    <w:rsid w:val="001E6678"/>
    <w:rsid w:val="00433844"/>
    <w:rsid w:val="00B35C15"/>
    <w:rsid w:val="00DF73CC"/>
    <w:rsid w:val="00EA6A33"/>
    <w:rsid w:val="00EF69D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A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73CC"/>
    <w:pPr>
      <w:tabs>
        <w:tab w:val="center" w:pos="4819"/>
        <w:tab w:val="right" w:pos="9639"/>
      </w:tabs>
    </w:pPr>
  </w:style>
  <w:style w:type="character" w:customStyle="1" w:styleId="a4">
    <w:name w:val="Верхний колонтитул Знак"/>
    <w:basedOn w:val="a0"/>
    <w:link w:val="a3"/>
    <w:uiPriority w:val="99"/>
    <w:rsid w:val="00DF73CC"/>
  </w:style>
  <w:style w:type="paragraph" w:styleId="a5">
    <w:name w:val="footer"/>
    <w:basedOn w:val="a"/>
    <w:link w:val="a6"/>
    <w:uiPriority w:val="99"/>
    <w:semiHidden/>
    <w:unhideWhenUsed/>
    <w:rsid w:val="00DF73CC"/>
    <w:pPr>
      <w:tabs>
        <w:tab w:val="center" w:pos="4819"/>
        <w:tab w:val="right" w:pos="9639"/>
      </w:tabs>
    </w:pPr>
  </w:style>
  <w:style w:type="character" w:customStyle="1" w:styleId="a6">
    <w:name w:val="Нижний колонтитул Знак"/>
    <w:basedOn w:val="a0"/>
    <w:link w:val="a5"/>
    <w:uiPriority w:val="99"/>
    <w:semiHidden/>
    <w:rsid w:val="00DF73CC"/>
  </w:style>
  <w:style w:type="table" w:styleId="a7">
    <w:name w:val="Table Grid"/>
    <w:basedOn w:val="a1"/>
    <w:uiPriority w:val="59"/>
    <w:rsid w:val="00EF6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31</Pages>
  <Words>36109</Words>
  <Characters>20583</Characters>
  <Application>Microsoft Office Word</Application>
  <DocSecurity>0</DocSecurity>
  <Lines>171</Lines>
  <Paragraphs>113</Paragraphs>
  <ScaleCrop>false</ScaleCrop>
  <Company/>
  <LinksUpToDate>false</LinksUpToDate>
  <CharactersWithSpaces>56579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Я</dc:creator>
  <cp:lastModifiedBy>Катерина Я</cp:lastModifiedBy>
  <cp:revision>4</cp:revision>
  <dcterms:created xsi:type="dcterms:W3CDTF">2026-07-30T13:21:00Z</dcterms:created>
  <dcterms:modified xsi:type="dcterms:W3CDTF">2026-07-30T13:41:00Z</dcterms:modified>
</cp:coreProperties>
</file>